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39" w:rsidRPr="00D427DE" w:rsidRDefault="00D030E2" w:rsidP="00AC1939">
      <w:pPr>
        <w:jc w:val="center"/>
        <w:rPr>
          <w:b/>
          <w:sz w:val="24"/>
          <w:szCs w:val="24"/>
        </w:rPr>
      </w:pPr>
      <w:r w:rsidRPr="00D030E2">
        <w:rPr>
          <w:noProof/>
          <w:lang w:eastAsia="pl-PL"/>
        </w:rPr>
        <w:pict>
          <v:rect id="Rectangle 5" o:spid="_x0000_s1026" style="position:absolute;left:0;text-align:left;margin-left:10.15pt;margin-top:-17.6pt;width:455.7pt;height:4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" fillcolor="#dce6f2">
            <v:fill color2="#95b3d7" rotate="t" focus="100%" type="gradient"/>
          </v:rect>
        </w:pict>
      </w:r>
      <w:r w:rsidR="00AC1939" w:rsidRPr="00D427DE">
        <w:rPr>
          <w:b/>
          <w:sz w:val="24"/>
          <w:szCs w:val="24"/>
        </w:rPr>
        <w:t xml:space="preserve">RAPORT O SYTUACJI EKONOMICZNO-FINANSOWEJ </w:t>
      </w:r>
      <w:r w:rsidR="00943ECE">
        <w:rPr>
          <w:b/>
          <w:sz w:val="24"/>
          <w:szCs w:val="24"/>
        </w:rPr>
        <w:t xml:space="preserve">SAMODZIELNEGO PUBLICZNEGO            </w:t>
      </w:r>
      <w:r w:rsidR="00AC1939" w:rsidRPr="00D427DE">
        <w:rPr>
          <w:b/>
          <w:sz w:val="24"/>
          <w:szCs w:val="24"/>
        </w:rPr>
        <w:t xml:space="preserve">ZAKŁADU OPIEKI ZDROWOTNEJ  </w:t>
      </w:r>
    </w:p>
    <w:p w:rsidR="00A53D39" w:rsidRPr="00F52EAA" w:rsidRDefault="000E20E3" w:rsidP="00C47960">
      <w:pPr>
        <w:jc w:val="center"/>
        <w:rPr>
          <w:b/>
          <w:sz w:val="24"/>
          <w:szCs w:val="24"/>
        </w:rPr>
      </w:pPr>
      <w:r>
        <w:rPr>
          <w:b/>
          <w:sz w:val="24"/>
          <w:szCs w:val="24"/>
        </w:rPr>
        <w:t>2022</w:t>
      </w:r>
      <w:r w:rsidR="00C47960">
        <w:rPr>
          <w:b/>
          <w:sz w:val="24"/>
          <w:szCs w:val="24"/>
        </w:rPr>
        <w:t xml:space="preserve"> rok</w:t>
      </w:r>
    </w:p>
    <w:p w:rsidR="00A53D39" w:rsidRPr="00F52EAA" w:rsidRDefault="00A53D39" w:rsidP="00A53D39">
      <w:pPr>
        <w:pStyle w:val="Nagwek4"/>
        <w:ind w:left="2127" w:hanging="2127"/>
        <w:jc w:val="both"/>
        <w:rPr>
          <w:rFonts w:asciiTheme="minorHAnsi" w:hAnsiTheme="minorHAnsi"/>
          <w:b w:val="0"/>
        </w:rPr>
      </w:pPr>
      <w:r w:rsidRPr="00F52EAA">
        <w:rPr>
          <w:rFonts w:asciiTheme="minorHAnsi" w:hAnsiTheme="minorHAnsi"/>
        </w:rPr>
        <w:t>Podstawa prawna:</w:t>
      </w:r>
      <w:r w:rsidRPr="00F52EAA">
        <w:rPr>
          <w:rFonts w:asciiTheme="minorHAnsi" w:hAnsiTheme="minorHAnsi"/>
          <w:b w:val="0"/>
        </w:rPr>
        <w:tab/>
        <w:t xml:space="preserve">art.53a ustawy z dnia 15 kwietnia 2011r. o działalności leczniczej                         (Dz.U.2016.0.1638 </w:t>
      </w:r>
      <w:proofErr w:type="spellStart"/>
      <w:r w:rsidRPr="00F52EAA">
        <w:rPr>
          <w:rFonts w:asciiTheme="minorHAnsi" w:hAnsiTheme="minorHAnsi"/>
          <w:b w:val="0"/>
        </w:rPr>
        <w:t>t.j</w:t>
      </w:r>
      <w:proofErr w:type="spellEnd"/>
      <w:r w:rsidRPr="00F52EAA">
        <w:rPr>
          <w:rFonts w:asciiTheme="minorHAnsi" w:hAnsiTheme="minorHAnsi"/>
          <w:b w:val="0"/>
        </w:rPr>
        <w:t>)</w:t>
      </w:r>
    </w:p>
    <w:p w:rsidR="001853D3" w:rsidRPr="00F52EAA" w:rsidRDefault="001853D3" w:rsidP="005F546E">
      <w:pPr>
        <w:spacing w:after="0" w:line="240" w:lineRule="auto"/>
        <w:rPr>
          <w:b/>
          <w:sz w:val="24"/>
          <w:szCs w:val="24"/>
        </w:rPr>
      </w:pPr>
    </w:p>
    <w:p w:rsidR="00FA3BF0" w:rsidRPr="00F52EAA" w:rsidRDefault="004D507A" w:rsidP="005F546E">
      <w:pPr>
        <w:spacing w:after="0" w:line="240" w:lineRule="auto"/>
        <w:rPr>
          <w:b/>
          <w:sz w:val="24"/>
          <w:szCs w:val="24"/>
          <w:u w:val="single"/>
        </w:rPr>
      </w:pPr>
      <w:r w:rsidRPr="00F52EAA">
        <w:rPr>
          <w:b/>
          <w:sz w:val="24"/>
          <w:szCs w:val="24"/>
          <w:u w:val="single"/>
        </w:rPr>
        <w:t>I</w:t>
      </w:r>
      <w:r w:rsidR="00FA3BF0" w:rsidRPr="00F52EAA">
        <w:rPr>
          <w:b/>
          <w:sz w:val="24"/>
          <w:szCs w:val="24"/>
          <w:u w:val="single"/>
        </w:rPr>
        <w:t>. Wybrane informacje o samodzielnym publi</w:t>
      </w:r>
      <w:r w:rsidR="005F546E" w:rsidRPr="00F52EAA">
        <w:rPr>
          <w:b/>
          <w:sz w:val="24"/>
          <w:szCs w:val="24"/>
          <w:u w:val="single"/>
        </w:rPr>
        <w:t>c</w:t>
      </w:r>
      <w:r w:rsidR="00FA3BF0" w:rsidRPr="00F52EAA">
        <w:rPr>
          <w:b/>
          <w:sz w:val="24"/>
          <w:szCs w:val="24"/>
          <w:u w:val="single"/>
        </w:rPr>
        <w:t xml:space="preserve">znym zakładzie </w:t>
      </w:r>
      <w:r w:rsidR="005F546E" w:rsidRPr="00F52EAA">
        <w:rPr>
          <w:b/>
          <w:sz w:val="24"/>
          <w:szCs w:val="24"/>
          <w:u w:val="single"/>
        </w:rPr>
        <w:t>opieki zdrowotnej</w:t>
      </w:r>
      <w:r w:rsidR="00A44FF8" w:rsidRPr="00F52EAA">
        <w:rPr>
          <w:b/>
          <w:sz w:val="24"/>
          <w:szCs w:val="24"/>
          <w:u w:val="single"/>
        </w:rPr>
        <w:t>.</w:t>
      </w:r>
    </w:p>
    <w:p w:rsidR="00A44FF8" w:rsidRPr="00F52EAA" w:rsidRDefault="00A44FF8" w:rsidP="005F546E">
      <w:pPr>
        <w:spacing w:after="0" w:line="240" w:lineRule="auto"/>
        <w:rPr>
          <w:b/>
          <w:sz w:val="24"/>
          <w:szCs w:val="24"/>
        </w:rPr>
      </w:pPr>
    </w:p>
    <w:p w:rsidR="00E50123" w:rsidRPr="00F52EAA" w:rsidRDefault="00E50123" w:rsidP="005F546E">
      <w:pPr>
        <w:spacing w:after="0" w:line="240" w:lineRule="auto"/>
        <w:rPr>
          <w:b/>
          <w:sz w:val="24"/>
          <w:szCs w:val="24"/>
        </w:rPr>
      </w:pPr>
    </w:p>
    <w:p w:rsidR="00A44FF8" w:rsidRPr="001B33A1" w:rsidRDefault="005F546E" w:rsidP="001B33A1">
      <w:pPr>
        <w:spacing w:after="0" w:line="360" w:lineRule="auto"/>
        <w:rPr>
          <w:b/>
          <w:sz w:val="24"/>
          <w:szCs w:val="24"/>
        </w:rPr>
      </w:pPr>
      <w:r w:rsidRPr="00F52EAA">
        <w:rPr>
          <w:sz w:val="24"/>
          <w:szCs w:val="24"/>
        </w:rPr>
        <w:t xml:space="preserve">1. </w:t>
      </w:r>
      <w:r w:rsidR="00A44FF8" w:rsidRPr="00F52EAA">
        <w:rPr>
          <w:sz w:val="24"/>
          <w:szCs w:val="24"/>
        </w:rPr>
        <w:t>Firma samodzielnego publicznego zakładu opieki zdrowotnej</w:t>
      </w:r>
      <w:r w:rsidR="001B33A1">
        <w:rPr>
          <w:sz w:val="24"/>
          <w:szCs w:val="24"/>
        </w:rPr>
        <w:t xml:space="preserve"> </w:t>
      </w:r>
      <w:r w:rsidR="001B33A1">
        <w:rPr>
          <w:b/>
          <w:sz w:val="24"/>
          <w:szCs w:val="24"/>
        </w:rPr>
        <w:t>Szpital Uzdrowiskowy „Willa Fortuna” – s.p.z.o.z.</w:t>
      </w:r>
    </w:p>
    <w:p w:rsidR="00A44FF8" w:rsidRPr="001B33A1" w:rsidRDefault="00A44FF8" w:rsidP="00A44FF8">
      <w:pPr>
        <w:spacing w:after="0" w:line="360" w:lineRule="auto"/>
        <w:rPr>
          <w:b/>
          <w:sz w:val="24"/>
          <w:szCs w:val="24"/>
        </w:rPr>
      </w:pPr>
      <w:r w:rsidRPr="00F52EAA">
        <w:rPr>
          <w:sz w:val="24"/>
          <w:szCs w:val="24"/>
        </w:rPr>
        <w:t xml:space="preserve">2. Siedziba </w:t>
      </w:r>
      <w:r w:rsidR="001B33A1">
        <w:rPr>
          <w:b/>
          <w:sz w:val="24"/>
          <w:szCs w:val="24"/>
        </w:rPr>
        <w:t>ul. Rafińskiego 3, 78-100 Kołobrzeg</w:t>
      </w:r>
    </w:p>
    <w:p w:rsidR="00A44FF8" w:rsidRPr="00F52EAA" w:rsidRDefault="00A44FF8" w:rsidP="00A44FF8">
      <w:pPr>
        <w:spacing w:after="0" w:line="360" w:lineRule="auto"/>
        <w:rPr>
          <w:sz w:val="24"/>
          <w:szCs w:val="24"/>
        </w:rPr>
      </w:pPr>
      <w:r w:rsidRPr="00F52EAA">
        <w:rPr>
          <w:sz w:val="24"/>
          <w:szCs w:val="24"/>
        </w:rPr>
        <w:t>3. Adres</w:t>
      </w:r>
      <w:r w:rsidR="001B33A1">
        <w:rPr>
          <w:sz w:val="24"/>
          <w:szCs w:val="24"/>
        </w:rPr>
        <w:t xml:space="preserve"> </w:t>
      </w:r>
      <w:r w:rsidR="001B33A1">
        <w:rPr>
          <w:b/>
          <w:sz w:val="24"/>
          <w:szCs w:val="24"/>
        </w:rPr>
        <w:t>ul. Rafińskiego 3, 78-100 Kołobrzeg</w:t>
      </w:r>
    </w:p>
    <w:p w:rsidR="00C47960" w:rsidRDefault="00A957C0" w:rsidP="00A44FF8">
      <w:pPr>
        <w:spacing w:after="0" w:line="360" w:lineRule="auto"/>
        <w:rPr>
          <w:b/>
          <w:sz w:val="24"/>
          <w:szCs w:val="24"/>
        </w:rPr>
      </w:pPr>
      <w:r>
        <w:rPr>
          <w:sz w:val="24"/>
          <w:szCs w:val="24"/>
        </w:rPr>
        <w:t>4. Numer  telefonu</w:t>
      </w:r>
      <w:r w:rsidR="00A44FF8" w:rsidRPr="00F52EAA">
        <w:rPr>
          <w:sz w:val="24"/>
          <w:szCs w:val="24"/>
        </w:rPr>
        <w:t xml:space="preserve">  oraz adres poczty elektronicznej</w:t>
      </w:r>
      <w:r w:rsidR="001B33A1">
        <w:rPr>
          <w:sz w:val="24"/>
          <w:szCs w:val="24"/>
        </w:rPr>
        <w:t xml:space="preserve"> </w:t>
      </w:r>
      <w:r w:rsidR="00747F13" w:rsidRPr="00747F13">
        <w:rPr>
          <w:b/>
          <w:sz w:val="24"/>
          <w:szCs w:val="24"/>
        </w:rPr>
        <w:t>94 35 221 46,</w:t>
      </w:r>
      <w:r w:rsidR="00747F13">
        <w:rPr>
          <w:b/>
          <w:sz w:val="24"/>
          <w:szCs w:val="24"/>
        </w:rPr>
        <w:t xml:space="preserve"> 94 35 42 337, </w:t>
      </w:r>
      <w:r w:rsidR="00C47960">
        <w:rPr>
          <w:b/>
          <w:sz w:val="24"/>
          <w:szCs w:val="24"/>
        </w:rPr>
        <w:t xml:space="preserve"> </w:t>
      </w:r>
    </w:p>
    <w:p w:rsidR="00A44FF8" w:rsidRPr="00F52EAA" w:rsidRDefault="00C47960" w:rsidP="00A44FF8">
      <w:pPr>
        <w:spacing w:after="0" w:line="360" w:lineRule="auto"/>
        <w:rPr>
          <w:sz w:val="24"/>
          <w:szCs w:val="24"/>
        </w:rPr>
      </w:pPr>
      <w:r>
        <w:rPr>
          <w:b/>
          <w:sz w:val="24"/>
          <w:szCs w:val="24"/>
        </w:rPr>
        <w:t xml:space="preserve">    </w:t>
      </w:r>
      <w:r w:rsidR="00747F13">
        <w:rPr>
          <w:b/>
          <w:sz w:val="24"/>
          <w:szCs w:val="24"/>
        </w:rPr>
        <w:t>ksiegowa@willafortuna.pl</w:t>
      </w:r>
    </w:p>
    <w:p w:rsidR="00A44FF8" w:rsidRPr="00747F13" w:rsidRDefault="00747F13" w:rsidP="00A44FF8">
      <w:pPr>
        <w:spacing w:after="0" w:line="360" w:lineRule="auto"/>
        <w:rPr>
          <w:b/>
          <w:sz w:val="24"/>
          <w:szCs w:val="24"/>
        </w:rPr>
      </w:pPr>
      <w:r>
        <w:rPr>
          <w:sz w:val="24"/>
          <w:szCs w:val="24"/>
        </w:rPr>
        <w:t xml:space="preserve">5. Numer identyfikacyjny REGON </w:t>
      </w:r>
      <w:r>
        <w:rPr>
          <w:b/>
          <w:sz w:val="24"/>
          <w:szCs w:val="24"/>
        </w:rPr>
        <w:t>330922037</w:t>
      </w:r>
    </w:p>
    <w:p w:rsidR="00A44FF8" w:rsidRPr="00747F13" w:rsidRDefault="00A44FF8" w:rsidP="00A44FF8">
      <w:pPr>
        <w:spacing w:after="0" w:line="360" w:lineRule="auto"/>
        <w:rPr>
          <w:b/>
          <w:sz w:val="24"/>
          <w:szCs w:val="24"/>
        </w:rPr>
      </w:pPr>
      <w:r w:rsidRPr="00F52EAA">
        <w:rPr>
          <w:sz w:val="24"/>
          <w:szCs w:val="24"/>
        </w:rPr>
        <w:t>6. Nume</w:t>
      </w:r>
      <w:r w:rsidR="00747F13">
        <w:rPr>
          <w:sz w:val="24"/>
          <w:szCs w:val="24"/>
        </w:rPr>
        <w:t xml:space="preserve">r w Krajowym Rejestrze Sądowym </w:t>
      </w:r>
      <w:r w:rsidR="00832AAE">
        <w:rPr>
          <w:b/>
          <w:sz w:val="24"/>
          <w:szCs w:val="24"/>
        </w:rPr>
        <w:t>0000129491</w:t>
      </w:r>
    </w:p>
    <w:p w:rsidR="00C47960" w:rsidRDefault="00A44FF8" w:rsidP="00832AAE">
      <w:pPr>
        <w:spacing w:after="0" w:line="360" w:lineRule="auto"/>
        <w:rPr>
          <w:sz w:val="24"/>
          <w:szCs w:val="24"/>
        </w:rPr>
      </w:pPr>
      <w:r w:rsidRPr="00F52EAA">
        <w:rPr>
          <w:sz w:val="24"/>
          <w:szCs w:val="24"/>
        </w:rPr>
        <w:t>7. Data wpisu i numer rejestru podmiotów wykonujących działalność leczniczą</w:t>
      </w:r>
      <w:r w:rsidR="00832AAE">
        <w:rPr>
          <w:sz w:val="24"/>
          <w:szCs w:val="24"/>
        </w:rPr>
        <w:t xml:space="preserve"> </w:t>
      </w:r>
    </w:p>
    <w:p w:rsidR="00A44FF8" w:rsidRPr="00832AAE" w:rsidRDefault="00C47960" w:rsidP="00832AAE">
      <w:pPr>
        <w:spacing w:after="0" w:line="360" w:lineRule="auto"/>
        <w:rPr>
          <w:b/>
          <w:sz w:val="24"/>
          <w:szCs w:val="24"/>
        </w:rPr>
      </w:pPr>
      <w:r>
        <w:rPr>
          <w:sz w:val="24"/>
          <w:szCs w:val="24"/>
        </w:rPr>
        <w:t xml:space="preserve">     </w:t>
      </w:r>
      <w:r w:rsidR="002C0668">
        <w:rPr>
          <w:b/>
          <w:sz w:val="24"/>
          <w:szCs w:val="24"/>
        </w:rPr>
        <w:t>000000018269, data wpisu 29 kwietnia 1994r.</w:t>
      </w:r>
    </w:p>
    <w:p w:rsidR="00E50123" w:rsidRPr="00F52EAA" w:rsidRDefault="00E50123" w:rsidP="00A44FF8">
      <w:pPr>
        <w:spacing w:after="0" w:line="360" w:lineRule="auto"/>
        <w:rPr>
          <w:sz w:val="24"/>
          <w:szCs w:val="24"/>
        </w:rPr>
      </w:pPr>
    </w:p>
    <w:p w:rsidR="0047283E" w:rsidRDefault="004D507A" w:rsidP="002A2232">
      <w:pPr>
        <w:spacing w:after="0" w:line="360" w:lineRule="auto"/>
        <w:rPr>
          <w:rFonts w:eastAsiaTheme="minorEastAsia"/>
          <w:b/>
          <w:color w:val="000000" w:themeColor="text1"/>
          <w:kern w:val="24"/>
          <w:sz w:val="24"/>
          <w:szCs w:val="24"/>
          <w:u w:val="single"/>
        </w:rPr>
      </w:pPr>
      <w:r w:rsidRPr="00F52EAA">
        <w:rPr>
          <w:rFonts w:eastAsiaTheme="minorEastAsia"/>
          <w:b/>
          <w:color w:val="000000" w:themeColor="text1"/>
          <w:kern w:val="24"/>
          <w:sz w:val="24"/>
          <w:szCs w:val="24"/>
          <w:u w:val="single"/>
        </w:rPr>
        <w:t>II. Analiza sytuacji ekonomiczno-finansowej za poprzedni rok obrotowy</w:t>
      </w:r>
    </w:p>
    <w:p w:rsidR="002A2232" w:rsidRPr="002A2232" w:rsidRDefault="002A2232" w:rsidP="002A2232">
      <w:pPr>
        <w:spacing w:after="0" w:line="360" w:lineRule="auto"/>
        <w:rPr>
          <w:rFonts w:eastAsiaTheme="minorEastAsia"/>
          <w:b/>
          <w:color w:val="000000" w:themeColor="text1"/>
          <w:kern w:val="24"/>
          <w:sz w:val="24"/>
          <w:szCs w:val="24"/>
          <w:u w:val="single"/>
        </w:rPr>
      </w:pPr>
    </w:p>
    <w:p w:rsidR="009825A9" w:rsidRDefault="00F52EAA" w:rsidP="00A825DE">
      <w:pPr>
        <w:jc w:val="both"/>
        <w:rPr>
          <w:rFonts w:eastAsiaTheme="minorEastAsia"/>
          <w:color w:val="000000" w:themeColor="text1"/>
          <w:kern w:val="24"/>
          <w:sz w:val="24"/>
          <w:szCs w:val="24"/>
        </w:rPr>
      </w:pPr>
      <w:r>
        <w:rPr>
          <w:rFonts w:eastAsiaTheme="minorEastAsia"/>
          <w:color w:val="000000" w:themeColor="text1"/>
          <w:kern w:val="24"/>
          <w:sz w:val="24"/>
          <w:szCs w:val="24"/>
        </w:rPr>
        <w:tab/>
      </w:r>
      <w:r w:rsidR="00C74A67" w:rsidRPr="00F52EAA">
        <w:rPr>
          <w:rFonts w:eastAsiaTheme="minorEastAsia"/>
          <w:color w:val="000000" w:themeColor="text1"/>
          <w:kern w:val="24"/>
          <w:sz w:val="24"/>
          <w:szCs w:val="24"/>
        </w:rPr>
        <w:t>Ocena</w:t>
      </w:r>
      <w:r w:rsidR="009825A9">
        <w:rPr>
          <w:rFonts w:eastAsiaTheme="minorEastAsia"/>
          <w:color w:val="000000" w:themeColor="text1"/>
          <w:kern w:val="24"/>
          <w:sz w:val="24"/>
          <w:szCs w:val="24"/>
        </w:rPr>
        <w:t xml:space="preserve"> sytuacji ekonomiczno-finansowej </w:t>
      </w:r>
      <w:r w:rsidR="00820F7E" w:rsidRPr="00F52EAA">
        <w:rPr>
          <w:rFonts w:eastAsiaTheme="minorEastAsia"/>
          <w:color w:val="000000" w:themeColor="text1"/>
          <w:kern w:val="24"/>
          <w:sz w:val="24"/>
          <w:szCs w:val="24"/>
        </w:rPr>
        <w:t xml:space="preserve"> została opracowana w oparciu o teorię</w:t>
      </w:r>
      <w:r w:rsidR="00A825DE">
        <w:rPr>
          <w:rFonts w:eastAsiaTheme="minorEastAsia"/>
          <w:color w:val="000000" w:themeColor="text1"/>
          <w:kern w:val="24"/>
          <w:sz w:val="24"/>
          <w:szCs w:val="24"/>
        </w:rPr>
        <w:t xml:space="preserve">                              </w:t>
      </w:r>
      <w:r w:rsidR="00820F7E" w:rsidRPr="00F52EAA">
        <w:rPr>
          <w:rFonts w:eastAsiaTheme="minorEastAsia"/>
          <w:color w:val="000000" w:themeColor="text1"/>
          <w:kern w:val="24"/>
          <w:sz w:val="24"/>
          <w:szCs w:val="24"/>
        </w:rPr>
        <w:t xml:space="preserve"> i zas</w:t>
      </w:r>
      <w:r w:rsidR="009825A9">
        <w:rPr>
          <w:rFonts w:eastAsiaTheme="minorEastAsia"/>
          <w:color w:val="000000" w:themeColor="text1"/>
          <w:kern w:val="24"/>
          <w:sz w:val="24"/>
          <w:szCs w:val="24"/>
        </w:rPr>
        <w:t>ady analizy wskaźnikowej, dostos</w:t>
      </w:r>
      <w:r w:rsidR="00820F7E" w:rsidRPr="00F52EAA">
        <w:rPr>
          <w:rFonts w:eastAsiaTheme="minorEastAsia"/>
          <w:color w:val="000000" w:themeColor="text1"/>
          <w:kern w:val="24"/>
          <w:sz w:val="24"/>
          <w:szCs w:val="24"/>
        </w:rPr>
        <w:t>owan</w:t>
      </w:r>
      <w:r w:rsidR="00877601" w:rsidRPr="00F52EAA">
        <w:rPr>
          <w:rFonts w:eastAsiaTheme="minorEastAsia"/>
          <w:color w:val="000000" w:themeColor="text1"/>
          <w:kern w:val="24"/>
          <w:sz w:val="24"/>
          <w:szCs w:val="24"/>
        </w:rPr>
        <w:t>ej</w:t>
      </w:r>
      <w:r w:rsidR="00820F7E" w:rsidRPr="00F52EAA">
        <w:rPr>
          <w:rFonts w:eastAsiaTheme="minorEastAsia"/>
          <w:color w:val="000000" w:themeColor="text1"/>
          <w:kern w:val="24"/>
          <w:sz w:val="24"/>
          <w:szCs w:val="24"/>
        </w:rPr>
        <w:t xml:space="preserve"> do warunków i s</w:t>
      </w:r>
      <w:r w:rsidR="009825A9">
        <w:rPr>
          <w:rFonts w:eastAsiaTheme="minorEastAsia"/>
          <w:color w:val="000000" w:themeColor="text1"/>
          <w:kern w:val="24"/>
          <w:sz w:val="24"/>
          <w:szCs w:val="24"/>
        </w:rPr>
        <w:t>pecyfiki sektora ochrony zdrowia.</w:t>
      </w:r>
    </w:p>
    <w:p w:rsidR="009825A9" w:rsidRDefault="0066594C" w:rsidP="00A825DE">
      <w:pPr>
        <w:jc w:val="both"/>
        <w:rPr>
          <w:rFonts w:eastAsiaTheme="minorEastAsia"/>
          <w:color w:val="000000" w:themeColor="text1"/>
          <w:kern w:val="24"/>
          <w:sz w:val="24"/>
          <w:szCs w:val="24"/>
        </w:rPr>
      </w:pPr>
      <w:r>
        <w:rPr>
          <w:rFonts w:eastAsiaTheme="minorEastAsia"/>
          <w:color w:val="000000" w:themeColor="text1"/>
          <w:kern w:val="24"/>
          <w:sz w:val="24"/>
          <w:szCs w:val="24"/>
        </w:rPr>
        <w:t>R</w:t>
      </w:r>
      <w:r w:rsidR="005E7CCF">
        <w:rPr>
          <w:rFonts w:eastAsiaTheme="minorEastAsia"/>
          <w:color w:val="000000" w:themeColor="text1"/>
          <w:kern w:val="24"/>
          <w:sz w:val="24"/>
          <w:szCs w:val="24"/>
        </w:rPr>
        <w:t xml:space="preserve">aport sporządzono zgodnie z </w:t>
      </w:r>
      <w:r w:rsidR="009825A9">
        <w:rPr>
          <w:rFonts w:eastAsiaTheme="minorEastAsia"/>
          <w:color w:val="000000" w:themeColor="text1"/>
          <w:kern w:val="24"/>
          <w:sz w:val="24"/>
          <w:szCs w:val="24"/>
        </w:rPr>
        <w:t>Rozporządzeni</w:t>
      </w:r>
      <w:r w:rsidR="00B63E12">
        <w:rPr>
          <w:rFonts w:eastAsiaTheme="minorEastAsia"/>
          <w:color w:val="000000" w:themeColor="text1"/>
          <w:kern w:val="24"/>
          <w:sz w:val="24"/>
          <w:szCs w:val="24"/>
        </w:rPr>
        <w:t>em</w:t>
      </w:r>
      <w:r w:rsidR="005E7CCF">
        <w:rPr>
          <w:rFonts w:eastAsiaTheme="minorEastAsia"/>
          <w:color w:val="000000" w:themeColor="text1"/>
          <w:kern w:val="24"/>
          <w:sz w:val="24"/>
          <w:szCs w:val="24"/>
        </w:rPr>
        <w:t xml:space="preserve"> </w:t>
      </w:r>
      <w:r w:rsidR="009825A9">
        <w:rPr>
          <w:rFonts w:eastAsiaTheme="minorEastAsia"/>
          <w:color w:val="000000" w:themeColor="text1"/>
          <w:kern w:val="24"/>
          <w:sz w:val="24"/>
          <w:szCs w:val="24"/>
        </w:rPr>
        <w:t>Ministra Zdrowia z dnia 25 kwietnia 2017 roku w sprawie wskaźników ekonomiczno- finansowych niezbędnych do sporządzenia analizy oraz prognozy sytuacji ekonomiczno-finansowej samodzielnych publiczn</w:t>
      </w:r>
      <w:r w:rsidR="00C47960">
        <w:rPr>
          <w:rFonts w:eastAsiaTheme="minorEastAsia"/>
          <w:color w:val="000000" w:themeColor="text1"/>
          <w:kern w:val="24"/>
          <w:sz w:val="24"/>
          <w:szCs w:val="24"/>
        </w:rPr>
        <w:t>ych zakładów opieki zdrowotnej i obecnie obowiązujących przepisów prawa.</w:t>
      </w:r>
    </w:p>
    <w:p w:rsidR="005E7CCF" w:rsidRDefault="005E7CCF" w:rsidP="00A825DE">
      <w:pPr>
        <w:jc w:val="both"/>
        <w:rPr>
          <w:rFonts w:eastAsiaTheme="minorEastAsia"/>
          <w:color w:val="000000" w:themeColor="text1"/>
          <w:kern w:val="24"/>
          <w:sz w:val="24"/>
          <w:szCs w:val="24"/>
        </w:rPr>
      </w:pPr>
      <w:r>
        <w:rPr>
          <w:rFonts w:eastAsiaTheme="minorEastAsia"/>
          <w:color w:val="000000" w:themeColor="text1"/>
          <w:kern w:val="24"/>
          <w:sz w:val="24"/>
          <w:szCs w:val="24"/>
        </w:rPr>
        <w:t>Analizę sytuacj</w:t>
      </w:r>
      <w:r w:rsidR="00E2264F">
        <w:rPr>
          <w:rFonts w:eastAsiaTheme="minorEastAsia"/>
          <w:color w:val="000000" w:themeColor="text1"/>
          <w:kern w:val="24"/>
          <w:sz w:val="24"/>
          <w:szCs w:val="24"/>
        </w:rPr>
        <w:t>i ekonomiczno-finans</w:t>
      </w:r>
      <w:r w:rsidR="00DE5DE3">
        <w:rPr>
          <w:rFonts w:eastAsiaTheme="minorEastAsia"/>
          <w:color w:val="000000" w:themeColor="text1"/>
          <w:kern w:val="24"/>
          <w:sz w:val="24"/>
          <w:szCs w:val="24"/>
        </w:rPr>
        <w:t>owej za 2022</w:t>
      </w:r>
      <w:r>
        <w:rPr>
          <w:rFonts w:eastAsiaTheme="minorEastAsia"/>
          <w:color w:val="000000" w:themeColor="text1"/>
          <w:kern w:val="24"/>
          <w:sz w:val="24"/>
          <w:szCs w:val="24"/>
        </w:rPr>
        <w:t xml:space="preserve"> rok przeprowadzono w oparciu o punktowe oceny przypisane poszczególnym </w:t>
      </w:r>
      <w:r w:rsidR="0075192A">
        <w:rPr>
          <w:rFonts w:eastAsiaTheme="minorEastAsia"/>
          <w:color w:val="000000" w:themeColor="text1"/>
          <w:kern w:val="24"/>
          <w:sz w:val="24"/>
          <w:szCs w:val="24"/>
        </w:rPr>
        <w:t xml:space="preserve">wskaźnikom wyliczonym zgodnie ze sposobem określonym </w:t>
      </w:r>
      <w:r w:rsidR="00B63E12">
        <w:rPr>
          <w:rFonts w:eastAsiaTheme="minorEastAsia"/>
          <w:color w:val="000000" w:themeColor="text1"/>
          <w:kern w:val="24"/>
          <w:sz w:val="24"/>
          <w:szCs w:val="24"/>
        </w:rPr>
        <w:t xml:space="preserve">w </w:t>
      </w:r>
      <w:r w:rsidR="0075192A">
        <w:rPr>
          <w:rFonts w:eastAsiaTheme="minorEastAsia"/>
          <w:color w:val="000000" w:themeColor="text1"/>
          <w:kern w:val="24"/>
          <w:sz w:val="24"/>
          <w:szCs w:val="24"/>
        </w:rPr>
        <w:t>w/w rozporządzeniu</w:t>
      </w:r>
      <w:r>
        <w:rPr>
          <w:rFonts w:eastAsiaTheme="minorEastAsia"/>
          <w:color w:val="000000" w:themeColor="text1"/>
          <w:kern w:val="24"/>
          <w:sz w:val="24"/>
          <w:szCs w:val="24"/>
        </w:rPr>
        <w:t xml:space="preserve">. </w:t>
      </w:r>
    </w:p>
    <w:p w:rsidR="00472966" w:rsidRDefault="00472966" w:rsidP="00877601">
      <w:pPr>
        <w:rPr>
          <w:rFonts w:eastAsiaTheme="minorEastAsia"/>
          <w:color w:val="000000" w:themeColor="text1"/>
          <w:kern w:val="24"/>
          <w:sz w:val="24"/>
          <w:szCs w:val="24"/>
        </w:rPr>
      </w:pPr>
    </w:p>
    <w:p w:rsidR="00251A90" w:rsidRDefault="00251A90" w:rsidP="00877601">
      <w:pPr>
        <w:rPr>
          <w:rFonts w:eastAsiaTheme="minorEastAsia"/>
          <w:color w:val="000000" w:themeColor="text1"/>
          <w:kern w:val="24"/>
          <w:sz w:val="24"/>
          <w:szCs w:val="24"/>
        </w:rPr>
      </w:pPr>
    </w:p>
    <w:p w:rsidR="00E2264F" w:rsidRDefault="00E2264F" w:rsidP="00877601">
      <w:pPr>
        <w:rPr>
          <w:rFonts w:eastAsiaTheme="minorEastAsia"/>
          <w:color w:val="000000" w:themeColor="text1"/>
          <w:kern w:val="24"/>
          <w:sz w:val="24"/>
          <w:szCs w:val="24"/>
        </w:rPr>
      </w:pPr>
    </w:p>
    <w:tbl>
      <w:tblPr>
        <w:tblW w:w="10577" w:type="dxa"/>
        <w:tblCellMar>
          <w:left w:w="70" w:type="dxa"/>
          <w:right w:w="70" w:type="dxa"/>
        </w:tblCellMar>
        <w:tblLook w:val="04A0"/>
      </w:tblPr>
      <w:tblGrid>
        <w:gridCol w:w="1374"/>
        <w:gridCol w:w="4160"/>
        <w:gridCol w:w="2367"/>
        <w:gridCol w:w="834"/>
        <w:gridCol w:w="943"/>
        <w:gridCol w:w="899"/>
      </w:tblGrid>
      <w:tr w:rsidR="00E2264F" w:rsidRPr="00E2264F" w:rsidTr="002A01E0">
        <w:trPr>
          <w:trHeight w:val="525"/>
        </w:trPr>
        <w:tc>
          <w:tcPr>
            <w:tcW w:w="5534" w:type="dxa"/>
            <w:gridSpan w:val="2"/>
            <w:tcBorders>
              <w:top w:val="nil"/>
              <w:left w:val="nil"/>
              <w:bottom w:val="nil"/>
              <w:right w:val="nil"/>
            </w:tcBorders>
            <w:shd w:val="clear" w:color="auto" w:fill="auto"/>
            <w:vAlign w:val="center"/>
            <w:hideMark/>
          </w:tcPr>
          <w:p w:rsidR="00E2264F" w:rsidRPr="00E2264F" w:rsidRDefault="00E2264F" w:rsidP="00E2264F">
            <w:pPr>
              <w:spacing w:after="0" w:line="240" w:lineRule="auto"/>
              <w:rPr>
                <w:rFonts w:ascii="Arial" w:eastAsia="Times New Roman" w:hAnsi="Arial" w:cs="Arial"/>
                <w:sz w:val="18"/>
                <w:szCs w:val="18"/>
                <w:lang w:eastAsia="pl-PL"/>
              </w:rPr>
            </w:pPr>
            <w:proofErr w:type="spellStart"/>
            <w:r w:rsidRPr="00E2264F">
              <w:rPr>
                <w:rFonts w:ascii="Arial" w:eastAsia="Times New Roman" w:hAnsi="Arial" w:cs="Arial"/>
                <w:sz w:val="18"/>
                <w:szCs w:val="18"/>
                <w:lang w:eastAsia="pl-PL"/>
              </w:rPr>
              <w:lastRenderedPageBreak/>
              <w:t>Konsultant</w:t>
            </w:r>
            <w:proofErr w:type="spellEnd"/>
            <w:r w:rsidRPr="00E2264F">
              <w:rPr>
                <w:rFonts w:ascii="Arial" w:eastAsia="Times New Roman" w:hAnsi="Arial" w:cs="Arial"/>
                <w:sz w:val="18"/>
                <w:szCs w:val="18"/>
                <w:lang w:eastAsia="pl-PL"/>
              </w:rPr>
              <w:t xml:space="preserve"> - Wszelkie prawa zastrzeżone                                                                                                                                 Uprawniony do korzystania:</w:t>
            </w:r>
          </w:p>
        </w:tc>
        <w:tc>
          <w:tcPr>
            <w:tcW w:w="4144" w:type="dxa"/>
            <w:gridSpan w:val="3"/>
            <w:tcBorders>
              <w:top w:val="nil"/>
              <w:left w:val="nil"/>
              <w:bottom w:val="nil"/>
              <w:right w:val="nil"/>
            </w:tcBorders>
            <w:shd w:val="clear" w:color="auto" w:fill="auto"/>
            <w:noWrap/>
            <w:vAlign w:val="center"/>
            <w:hideMark/>
          </w:tcPr>
          <w:p w:rsidR="00E2264F" w:rsidRPr="00E2264F" w:rsidRDefault="00E2264F" w:rsidP="00E2264F">
            <w:pPr>
              <w:spacing w:after="0" w:line="240" w:lineRule="auto"/>
              <w:rPr>
                <w:rFonts w:ascii="Arial" w:eastAsia="Times New Roman" w:hAnsi="Arial" w:cs="Arial"/>
                <w:b/>
                <w:bCs/>
                <w:i/>
                <w:iCs/>
                <w:sz w:val="24"/>
                <w:szCs w:val="24"/>
                <w:lang w:eastAsia="pl-PL"/>
              </w:rPr>
            </w:pPr>
            <w:r w:rsidRPr="00E2264F">
              <w:rPr>
                <w:rFonts w:ascii="Arial" w:eastAsia="Times New Roman" w:hAnsi="Arial" w:cs="Arial"/>
                <w:b/>
                <w:bCs/>
                <w:i/>
                <w:iCs/>
                <w:sz w:val="24"/>
                <w:szCs w:val="24"/>
                <w:lang w:eastAsia="pl-PL"/>
              </w:rPr>
              <w:t xml:space="preserve"> Szpital Uzdrowiskowy  Kołobrzeg</w:t>
            </w:r>
          </w:p>
        </w:tc>
        <w:tc>
          <w:tcPr>
            <w:tcW w:w="899" w:type="dxa"/>
            <w:tcBorders>
              <w:top w:val="nil"/>
              <w:left w:val="nil"/>
              <w:bottom w:val="nil"/>
              <w:right w:val="nil"/>
            </w:tcBorders>
            <w:shd w:val="clear" w:color="auto" w:fill="auto"/>
            <w:noWrap/>
            <w:vAlign w:val="center"/>
            <w:hideMark/>
          </w:tcPr>
          <w:p w:rsidR="00E2264F" w:rsidRPr="00E2264F" w:rsidRDefault="00E2264F" w:rsidP="00E2264F">
            <w:pPr>
              <w:spacing w:after="0" w:line="240" w:lineRule="auto"/>
              <w:jc w:val="center"/>
              <w:rPr>
                <w:rFonts w:ascii="Arial" w:eastAsia="Times New Roman" w:hAnsi="Arial" w:cs="Arial"/>
                <w:b/>
                <w:bCs/>
                <w:sz w:val="32"/>
                <w:szCs w:val="32"/>
                <w:lang w:eastAsia="pl-PL"/>
              </w:rPr>
            </w:pPr>
          </w:p>
        </w:tc>
      </w:tr>
      <w:tr w:rsidR="00E2264F" w:rsidRPr="00E2264F" w:rsidTr="002A01E0">
        <w:trPr>
          <w:trHeight w:val="555"/>
        </w:trPr>
        <w:tc>
          <w:tcPr>
            <w:tcW w:w="7901" w:type="dxa"/>
            <w:gridSpan w:val="3"/>
            <w:tcBorders>
              <w:top w:val="nil"/>
              <w:left w:val="nil"/>
              <w:bottom w:val="single" w:sz="8" w:space="0" w:color="auto"/>
              <w:right w:val="nil"/>
            </w:tcBorders>
            <w:shd w:val="clear" w:color="000000" w:fill="FFFFFF"/>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ANALIZA WSKAŹNIKOWA I PUNKTOWA SYTUACJI FINANSOWEJ</w:t>
            </w:r>
          </w:p>
        </w:tc>
        <w:tc>
          <w:tcPr>
            <w:tcW w:w="834" w:type="dxa"/>
            <w:tcBorders>
              <w:top w:val="nil"/>
              <w:left w:val="nil"/>
              <w:bottom w:val="single" w:sz="8" w:space="0" w:color="auto"/>
              <w:right w:val="nil"/>
            </w:tcBorders>
            <w:shd w:val="clear" w:color="000000" w:fill="FFFFFF"/>
            <w:noWrap/>
            <w:vAlign w:val="center"/>
            <w:hideMark/>
          </w:tcPr>
          <w:p w:rsidR="00E2264F" w:rsidRPr="00E2264F" w:rsidRDefault="00E2264F" w:rsidP="00E2264F">
            <w:pPr>
              <w:spacing w:after="0" w:line="240" w:lineRule="auto"/>
              <w:jc w:val="center"/>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za rok</w:t>
            </w:r>
          </w:p>
        </w:tc>
        <w:tc>
          <w:tcPr>
            <w:tcW w:w="943" w:type="dxa"/>
            <w:tcBorders>
              <w:top w:val="nil"/>
              <w:left w:val="nil"/>
              <w:bottom w:val="single" w:sz="8" w:space="0" w:color="auto"/>
              <w:right w:val="nil"/>
            </w:tcBorders>
            <w:shd w:val="clear" w:color="000000" w:fill="FFFFFF"/>
            <w:noWrap/>
            <w:vAlign w:val="center"/>
            <w:hideMark/>
          </w:tcPr>
          <w:p w:rsidR="00E2264F" w:rsidRPr="00E2264F" w:rsidRDefault="00E2264F" w:rsidP="00E2264F">
            <w:pPr>
              <w:spacing w:after="0" w:line="240" w:lineRule="auto"/>
              <w:jc w:val="center"/>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2 02</w:t>
            </w:r>
            <w:r w:rsidR="00DE5DE3">
              <w:rPr>
                <w:rFonts w:ascii="Garamond" w:eastAsia="Times New Roman" w:hAnsi="Garamond" w:cs="Arial"/>
                <w:b/>
                <w:bCs/>
                <w:sz w:val="24"/>
                <w:szCs w:val="24"/>
                <w:lang w:eastAsia="pl-PL"/>
              </w:rPr>
              <w:t>2</w:t>
            </w:r>
          </w:p>
        </w:tc>
        <w:tc>
          <w:tcPr>
            <w:tcW w:w="899" w:type="dxa"/>
            <w:tcBorders>
              <w:top w:val="nil"/>
              <w:left w:val="nil"/>
              <w:bottom w:val="single" w:sz="8" w:space="0" w:color="auto"/>
              <w:right w:val="nil"/>
            </w:tcBorders>
            <w:shd w:val="clear" w:color="000000" w:fill="FFFFFF"/>
            <w:noWrap/>
            <w:vAlign w:val="center"/>
            <w:hideMark/>
          </w:tcPr>
          <w:p w:rsidR="00E2264F" w:rsidRPr="00E2264F" w:rsidRDefault="00E2264F" w:rsidP="00E2264F">
            <w:pPr>
              <w:spacing w:after="0" w:line="240" w:lineRule="auto"/>
              <w:jc w:val="center"/>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r>
      <w:tr w:rsidR="00E2264F" w:rsidRPr="00E2264F" w:rsidTr="002A01E0">
        <w:trPr>
          <w:trHeight w:val="248"/>
        </w:trPr>
        <w:tc>
          <w:tcPr>
            <w:tcW w:w="1374" w:type="dxa"/>
            <w:vMerge w:val="restart"/>
            <w:tcBorders>
              <w:top w:val="nil"/>
              <w:left w:val="single" w:sz="8" w:space="0" w:color="auto"/>
              <w:bottom w:val="single" w:sz="4" w:space="0" w:color="000000"/>
              <w:right w:val="single" w:sz="4"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Wskaźniki</w:t>
            </w:r>
          </w:p>
        </w:tc>
        <w:tc>
          <w:tcPr>
            <w:tcW w:w="4160" w:type="dxa"/>
            <w:vMerge w:val="restart"/>
            <w:tcBorders>
              <w:top w:val="nil"/>
              <w:left w:val="single" w:sz="4" w:space="0" w:color="auto"/>
              <w:bottom w:val="single" w:sz="4" w:space="0" w:color="000000"/>
              <w:right w:val="single" w:sz="4"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Metoda ustalenia</w:t>
            </w:r>
          </w:p>
        </w:tc>
        <w:tc>
          <w:tcPr>
            <w:tcW w:w="2367" w:type="dxa"/>
            <w:vMerge w:val="restart"/>
            <w:tcBorders>
              <w:top w:val="nil"/>
              <w:left w:val="single" w:sz="4" w:space="0" w:color="auto"/>
              <w:bottom w:val="single" w:sz="4" w:space="0" w:color="000000"/>
              <w:right w:val="single" w:sz="4"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Przedziały           wartości</w:t>
            </w:r>
          </w:p>
        </w:tc>
        <w:tc>
          <w:tcPr>
            <w:tcW w:w="834" w:type="dxa"/>
            <w:vMerge w:val="restart"/>
            <w:tcBorders>
              <w:top w:val="nil"/>
              <w:left w:val="single" w:sz="4" w:space="0" w:color="auto"/>
              <w:bottom w:val="single" w:sz="4" w:space="0" w:color="000000"/>
              <w:right w:val="single" w:sz="4"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sz w:val="18"/>
                <w:szCs w:val="18"/>
                <w:lang w:eastAsia="pl-PL"/>
              </w:rPr>
            </w:pPr>
            <w:r w:rsidRPr="00E2264F">
              <w:rPr>
                <w:rFonts w:ascii="Garamond" w:eastAsia="Times New Roman" w:hAnsi="Garamond" w:cs="Arial"/>
                <w:sz w:val="18"/>
                <w:szCs w:val="18"/>
                <w:lang w:eastAsia="pl-PL"/>
              </w:rPr>
              <w:t>Ocena punktowa</w:t>
            </w:r>
          </w:p>
        </w:tc>
        <w:tc>
          <w:tcPr>
            <w:tcW w:w="943" w:type="dxa"/>
            <w:vMerge w:val="restart"/>
            <w:tcBorders>
              <w:top w:val="nil"/>
              <w:left w:val="single" w:sz="4" w:space="0" w:color="auto"/>
              <w:bottom w:val="single" w:sz="4" w:space="0" w:color="000000"/>
              <w:right w:val="single" w:sz="4"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sz w:val="18"/>
                <w:szCs w:val="18"/>
                <w:lang w:eastAsia="pl-PL"/>
              </w:rPr>
            </w:pPr>
            <w:r w:rsidRPr="00E2264F">
              <w:rPr>
                <w:rFonts w:ascii="Garamond" w:eastAsia="Times New Roman" w:hAnsi="Garamond" w:cs="Arial"/>
                <w:sz w:val="18"/>
                <w:szCs w:val="18"/>
                <w:lang w:eastAsia="pl-PL"/>
              </w:rPr>
              <w:t xml:space="preserve">Wskaźnik </w:t>
            </w:r>
          </w:p>
        </w:tc>
        <w:tc>
          <w:tcPr>
            <w:tcW w:w="899" w:type="dxa"/>
            <w:vMerge w:val="restart"/>
            <w:tcBorders>
              <w:top w:val="nil"/>
              <w:left w:val="nil"/>
              <w:bottom w:val="single" w:sz="4" w:space="0" w:color="000000"/>
              <w:right w:val="single" w:sz="8" w:space="0" w:color="auto"/>
            </w:tcBorders>
            <w:shd w:val="clear" w:color="000000" w:fill="FFCC00"/>
            <w:vAlign w:val="center"/>
            <w:hideMark/>
          </w:tcPr>
          <w:p w:rsidR="00E2264F" w:rsidRPr="00E2264F" w:rsidRDefault="00E2264F" w:rsidP="00E2264F">
            <w:pPr>
              <w:spacing w:after="0" w:line="240" w:lineRule="auto"/>
              <w:jc w:val="center"/>
              <w:rPr>
                <w:rFonts w:ascii="Garamond" w:eastAsia="Times New Roman" w:hAnsi="Garamond" w:cs="Arial"/>
                <w:sz w:val="18"/>
                <w:szCs w:val="18"/>
                <w:lang w:eastAsia="pl-PL"/>
              </w:rPr>
            </w:pPr>
            <w:r w:rsidRPr="00E2264F">
              <w:rPr>
                <w:rFonts w:ascii="Garamond" w:eastAsia="Times New Roman" w:hAnsi="Garamond" w:cs="Arial"/>
                <w:sz w:val="18"/>
                <w:szCs w:val="18"/>
                <w:lang w:eastAsia="pl-PL"/>
              </w:rPr>
              <w:t xml:space="preserve">Ocena </w:t>
            </w:r>
          </w:p>
        </w:tc>
      </w:tr>
      <w:tr w:rsidR="00E2264F" w:rsidRPr="00E2264F" w:rsidTr="002A01E0">
        <w:trPr>
          <w:trHeight w:val="315"/>
        </w:trPr>
        <w:tc>
          <w:tcPr>
            <w:tcW w:w="1374" w:type="dxa"/>
            <w:vMerge/>
            <w:tcBorders>
              <w:top w:val="nil"/>
              <w:left w:val="single" w:sz="8" w:space="0" w:color="auto"/>
              <w:bottom w:val="single" w:sz="4" w:space="0" w:color="000000"/>
              <w:right w:val="single" w:sz="4" w:space="0" w:color="auto"/>
            </w:tcBorders>
            <w:vAlign w:val="center"/>
            <w:hideMark/>
          </w:tcPr>
          <w:p w:rsidR="00E2264F" w:rsidRPr="00E2264F" w:rsidRDefault="00E2264F" w:rsidP="00E2264F">
            <w:pPr>
              <w:spacing w:after="0" w:line="240" w:lineRule="auto"/>
              <w:rPr>
                <w:rFonts w:ascii="Garamond" w:eastAsia="Times New Roman" w:hAnsi="Garamond" w:cs="Arial"/>
                <w:lang w:eastAsia="pl-PL"/>
              </w:rPr>
            </w:pPr>
          </w:p>
        </w:tc>
        <w:tc>
          <w:tcPr>
            <w:tcW w:w="4160" w:type="dxa"/>
            <w:vMerge/>
            <w:tcBorders>
              <w:top w:val="nil"/>
              <w:left w:val="single" w:sz="4" w:space="0" w:color="auto"/>
              <w:bottom w:val="single" w:sz="4" w:space="0" w:color="000000"/>
              <w:right w:val="single" w:sz="4" w:space="0" w:color="auto"/>
            </w:tcBorders>
            <w:vAlign w:val="center"/>
            <w:hideMark/>
          </w:tcPr>
          <w:p w:rsidR="00E2264F" w:rsidRPr="00E2264F" w:rsidRDefault="00E2264F" w:rsidP="00E2264F">
            <w:pPr>
              <w:spacing w:after="0" w:line="240" w:lineRule="auto"/>
              <w:rPr>
                <w:rFonts w:ascii="Garamond" w:eastAsia="Times New Roman" w:hAnsi="Garamond" w:cs="Arial"/>
                <w:lang w:eastAsia="pl-PL"/>
              </w:rPr>
            </w:pPr>
          </w:p>
        </w:tc>
        <w:tc>
          <w:tcPr>
            <w:tcW w:w="2367" w:type="dxa"/>
            <w:vMerge/>
            <w:tcBorders>
              <w:top w:val="nil"/>
              <w:left w:val="single" w:sz="4" w:space="0" w:color="auto"/>
              <w:bottom w:val="single" w:sz="4" w:space="0" w:color="000000"/>
              <w:right w:val="single" w:sz="4" w:space="0" w:color="auto"/>
            </w:tcBorders>
            <w:vAlign w:val="center"/>
            <w:hideMark/>
          </w:tcPr>
          <w:p w:rsidR="00E2264F" w:rsidRPr="00E2264F" w:rsidRDefault="00E2264F" w:rsidP="00E2264F">
            <w:pPr>
              <w:spacing w:after="0" w:line="240" w:lineRule="auto"/>
              <w:rPr>
                <w:rFonts w:ascii="Garamond" w:eastAsia="Times New Roman" w:hAnsi="Garamond" w:cs="Arial"/>
                <w:sz w:val="20"/>
                <w:szCs w:val="20"/>
                <w:lang w:eastAsia="pl-PL"/>
              </w:rPr>
            </w:pPr>
          </w:p>
        </w:tc>
        <w:tc>
          <w:tcPr>
            <w:tcW w:w="834" w:type="dxa"/>
            <w:vMerge/>
            <w:tcBorders>
              <w:top w:val="nil"/>
              <w:left w:val="single" w:sz="4" w:space="0" w:color="auto"/>
              <w:bottom w:val="single" w:sz="4" w:space="0" w:color="000000"/>
              <w:right w:val="single" w:sz="4" w:space="0" w:color="auto"/>
            </w:tcBorders>
            <w:vAlign w:val="center"/>
            <w:hideMark/>
          </w:tcPr>
          <w:p w:rsidR="00E2264F" w:rsidRPr="00E2264F" w:rsidRDefault="00E2264F" w:rsidP="00E2264F">
            <w:pPr>
              <w:spacing w:after="0" w:line="240" w:lineRule="auto"/>
              <w:rPr>
                <w:rFonts w:ascii="Garamond" w:eastAsia="Times New Roman" w:hAnsi="Garamond" w:cs="Arial"/>
                <w:sz w:val="18"/>
                <w:szCs w:val="18"/>
                <w:lang w:eastAsia="pl-PL"/>
              </w:rPr>
            </w:pPr>
          </w:p>
        </w:tc>
        <w:tc>
          <w:tcPr>
            <w:tcW w:w="943" w:type="dxa"/>
            <w:vMerge/>
            <w:tcBorders>
              <w:top w:val="nil"/>
              <w:left w:val="single" w:sz="4" w:space="0" w:color="auto"/>
              <w:bottom w:val="single" w:sz="4" w:space="0" w:color="000000"/>
              <w:right w:val="single" w:sz="4" w:space="0" w:color="auto"/>
            </w:tcBorders>
            <w:vAlign w:val="center"/>
            <w:hideMark/>
          </w:tcPr>
          <w:p w:rsidR="00E2264F" w:rsidRPr="00E2264F" w:rsidRDefault="00E2264F" w:rsidP="00E2264F">
            <w:pPr>
              <w:spacing w:after="0" w:line="240" w:lineRule="auto"/>
              <w:rPr>
                <w:rFonts w:ascii="Garamond" w:eastAsia="Times New Roman" w:hAnsi="Garamond" w:cs="Arial"/>
                <w:sz w:val="18"/>
                <w:szCs w:val="18"/>
                <w:lang w:eastAsia="pl-PL"/>
              </w:rPr>
            </w:pPr>
          </w:p>
        </w:tc>
        <w:tc>
          <w:tcPr>
            <w:tcW w:w="899" w:type="dxa"/>
            <w:vMerge/>
            <w:tcBorders>
              <w:top w:val="nil"/>
              <w:left w:val="nil"/>
              <w:bottom w:val="single" w:sz="4" w:space="0" w:color="000000"/>
              <w:right w:val="single" w:sz="8" w:space="0" w:color="auto"/>
            </w:tcBorders>
            <w:vAlign w:val="center"/>
            <w:hideMark/>
          </w:tcPr>
          <w:p w:rsidR="00E2264F" w:rsidRPr="00E2264F" w:rsidRDefault="00E2264F" w:rsidP="00E2264F">
            <w:pPr>
              <w:spacing w:after="0" w:line="240" w:lineRule="auto"/>
              <w:rPr>
                <w:rFonts w:ascii="Garamond" w:eastAsia="Times New Roman" w:hAnsi="Garamond" w:cs="Arial"/>
                <w:sz w:val="18"/>
                <w:szCs w:val="18"/>
                <w:lang w:eastAsia="pl-PL"/>
              </w:rPr>
            </w:pPr>
          </w:p>
        </w:tc>
      </w:tr>
      <w:tr w:rsidR="00E2264F" w:rsidRPr="00E2264F" w:rsidTr="002A01E0">
        <w:trPr>
          <w:trHeight w:val="300"/>
        </w:trPr>
        <w:tc>
          <w:tcPr>
            <w:tcW w:w="5534" w:type="dxa"/>
            <w:gridSpan w:val="2"/>
            <w:tcBorders>
              <w:top w:val="single" w:sz="4" w:space="0" w:color="auto"/>
              <w:left w:val="single" w:sz="8" w:space="0" w:color="auto"/>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I.     WSKAŹNIKI ZYSKOWNOŚCI</w:t>
            </w:r>
          </w:p>
        </w:tc>
        <w:tc>
          <w:tcPr>
            <w:tcW w:w="2367"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34"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943"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99" w:type="dxa"/>
            <w:tcBorders>
              <w:top w:val="nil"/>
              <w:left w:val="nil"/>
              <w:bottom w:val="single" w:sz="4" w:space="0" w:color="auto"/>
              <w:right w:val="single" w:sz="8" w:space="0" w:color="auto"/>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lang w:eastAsia="pl-PL"/>
              </w:rPr>
            </w:pPr>
            <w:r w:rsidRPr="00E2264F">
              <w:rPr>
                <w:rFonts w:ascii="Garamond" w:eastAsia="Times New Roman" w:hAnsi="Garamond" w:cs="Arial"/>
                <w:b/>
                <w:bCs/>
                <w:lang w:eastAsia="pl-PL"/>
              </w:rPr>
              <w:t> </w:t>
            </w:r>
          </w:p>
        </w:tc>
      </w:tr>
      <w:tr w:rsidR="00E2264F" w:rsidRPr="00E2264F" w:rsidTr="002A01E0">
        <w:trPr>
          <w:trHeight w:val="1425"/>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sz w:val="20"/>
                <w:szCs w:val="20"/>
                <w:lang w:eastAsia="pl-PL"/>
              </w:rPr>
            </w:pPr>
            <w:r w:rsidRPr="00E2264F">
              <w:rPr>
                <w:rFonts w:ascii="Garamond" w:eastAsia="Times New Roman" w:hAnsi="Garamond" w:cs="Arial"/>
                <w:b/>
                <w:bCs/>
                <w:sz w:val="20"/>
                <w:szCs w:val="20"/>
                <w:lang w:eastAsia="pl-PL"/>
              </w:rPr>
              <w:t xml:space="preserve">Zyskowności  netto   </w:t>
            </w:r>
            <w:r w:rsidRPr="00E2264F">
              <w:rPr>
                <w:rFonts w:ascii="Garamond" w:eastAsia="Times New Roman" w:hAnsi="Garamond" w:cs="Arial"/>
                <w:sz w:val="20"/>
                <w:szCs w:val="20"/>
                <w:lang w:eastAsia="pl-PL"/>
              </w:rPr>
              <w:t xml:space="preserve">                                                           </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4144" behindDoc="0" locked="0" layoutInCell="1" allowOverlap="1">
                  <wp:simplePos x="0" y="0"/>
                  <wp:positionH relativeFrom="column">
                    <wp:posOffset>180975</wp:posOffset>
                  </wp:positionH>
                  <wp:positionV relativeFrom="paragraph">
                    <wp:posOffset>219075</wp:posOffset>
                  </wp:positionV>
                  <wp:extent cx="2171700" cy="19050"/>
                  <wp:effectExtent l="0" t="0" r="635" b="635"/>
                  <wp:wrapNone/>
                  <wp:docPr id="29" name="Łącznik prosty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36320" y="1440655"/>
                            <a:ext cx="2156467" cy="0"/>
                            <a:chOff x="1036320" y="1440655"/>
                            <a:chExt cx="2156467" cy="0"/>
                          </a:xfrm>
                        </a:grpSpPr>
                        <a:cxnSp>
                          <a:nvCxnSpPr>
                            <a:cNvPr id="3" name="Łącznik prosty 2"/>
                            <a:cNvCxnSpPr/>
                          </a:nvCxnSpPr>
                          <a:spPr>
                            <a:xfrm>
                              <a:off x="1035844" y="1445418"/>
                              <a:ext cx="2152650" cy="0"/>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1425"/>
                <w:tblCellSpacing w:w="0" w:type="dxa"/>
              </w:trPr>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wynik netto  x  100%                                        przychody netto ze sprzedaży produktów                                 + przychody netto ze sprzedaży towarów                               i materiałów + pozostałe przychody operacyjne                     + przychody finansowe</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0,0 %                                    od 0,0% do 2,0 %                                             powyżej 2,0% do 4,0%                                                                                        powyżej 4,0%</w:t>
            </w:r>
          </w:p>
        </w:tc>
        <w:tc>
          <w:tcPr>
            <w:tcW w:w="834"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0                          3                             4                                                                    </w:t>
            </w:r>
            <w:r w:rsidRPr="00E2264F">
              <w:rPr>
                <w:rFonts w:ascii="Garamond" w:eastAsia="Times New Roman" w:hAnsi="Garamond" w:cs="Arial"/>
                <w:b/>
                <w:bCs/>
                <w:sz w:val="20"/>
                <w:szCs w:val="20"/>
                <w:lang w:eastAsia="pl-PL"/>
              </w:rPr>
              <w:t>5</w:t>
            </w:r>
          </w:p>
        </w:tc>
        <w:tc>
          <w:tcPr>
            <w:tcW w:w="943" w:type="dxa"/>
            <w:tcBorders>
              <w:top w:val="nil"/>
              <w:left w:val="nil"/>
              <w:bottom w:val="single" w:sz="4" w:space="0" w:color="auto"/>
              <w:right w:val="single" w:sz="4" w:space="0" w:color="auto"/>
            </w:tcBorders>
            <w:shd w:val="clear" w:color="auto" w:fill="auto"/>
            <w:noWrap/>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9,11</w:t>
            </w:r>
            <w:r w:rsidR="00E2264F" w:rsidRPr="00E2264F">
              <w:rPr>
                <w:rFonts w:ascii="Garamond" w:eastAsia="Times New Roman" w:hAnsi="Garamond" w:cs="Arial"/>
                <w:b/>
                <w:bCs/>
                <w:lang w:eastAsia="pl-PL"/>
              </w:rPr>
              <w:t>%</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420454"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5</w:t>
            </w:r>
          </w:p>
        </w:tc>
      </w:tr>
      <w:tr w:rsidR="00E2264F" w:rsidRPr="00E2264F" w:rsidTr="002A01E0">
        <w:trPr>
          <w:trHeight w:val="1365"/>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Zyskowności działalności operacyjnej             </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5168" behindDoc="0" locked="0" layoutInCell="1" allowOverlap="1">
                  <wp:simplePos x="0" y="0"/>
                  <wp:positionH relativeFrom="column">
                    <wp:posOffset>133350</wp:posOffset>
                  </wp:positionH>
                  <wp:positionV relativeFrom="paragraph">
                    <wp:posOffset>276225</wp:posOffset>
                  </wp:positionV>
                  <wp:extent cx="2238375" cy="19050"/>
                  <wp:effectExtent l="0" t="0" r="0" b="635"/>
                  <wp:wrapNone/>
                  <wp:docPr id="28" name="Łącznik prosty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88695" y="2399822"/>
                            <a:ext cx="2222923" cy="0"/>
                            <a:chOff x="988695" y="2399822"/>
                            <a:chExt cx="2222923" cy="0"/>
                          </a:xfrm>
                        </a:grpSpPr>
                        <a:cxnSp>
                          <a:nvCxnSpPr>
                            <a:cNvPr id="7" name="Łącznik prosty 6"/>
                            <a:cNvCxnSpPr/>
                          </a:nvCxnSpPr>
                          <a:spPr>
                            <a:xfrm>
                              <a:off x="978694" y="2402680"/>
                              <a:ext cx="2228850" cy="0"/>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1365"/>
                <w:tblCellSpacing w:w="0" w:type="dxa"/>
              </w:trPr>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wynik z działalności operacyjnej x 100%                                      przychody netto ze sprzedaży   produktów                                           + przychody netto ze sprzedaży towarów                             i materiałów + pozostałe przychody operacyjne</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0,0 %                                    od 0,0% do 3,0 %                                             powyżej 3,0% do 5,0%                                                                                        powyżej 5,0%</w:t>
            </w:r>
          </w:p>
        </w:tc>
        <w:tc>
          <w:tcPr>
            <w:tcW w:w="834"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0                          3                             4                                                                    </w:t>
            </w:r>
            <w:r w:rsidRPr="00E2264F">
              <w:rPr>
                <w:rFonts w:ascii="Garamond" w:eastAsia="Times New Roman" w:hAnsi="Garamond" w:cs="Arial"/>
                <w:b/>
                <w:bCs/>
                <w:sz w:val="20"/>
                <w:szCs w:val="20"/>
                <w:lang w:eastAsia="pl-PL"/>
              </w:rPr>
              <w:t>5</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8,96</w:t>
            </w:r>
            <w:r w:rsidR="00E2264F" w:rsidRPr="00E2264F">
              <w:rPr>
                <w:rFonts w:ascii="Garamond" w:eastAsia="Times New Roman" w:hAnsi="Garamond" w:cs="Arial"/>
                <w:b/>
                <w:bCs/>
                <w:lang w:eastAsia="pl-PL"/>
              </w:rPr>
              <w:t>%</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420454"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5</w:t>
            </w:r>
          </w:p>
        </w:tc>
      </w:tr>
      <w:tr w:rsidR="00E2264F" w:rsidRPr="00E2264F" w:rsidTr="002A01E0">
        <w:trPr>
          <w:trHeight w:val="1125"/>
        </w:trPr>
        <w:tc>
          <w:tcPr>
            <w:tcW w:w="1374" w:type="dxa"/>
            <w:tcBorders>
              <w:top w:val="nil"/>
              <w:left w:val="single" w:sz="8" w:space="0" w:color="auto"/>
              <w:bottom w:val="nil"/>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Zyskowność aktywów</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6192" behindDoc="0" locked="0" layoutInCell="1" allowOverlap="1">
                  <wp:simplePos x="0" y="0"/>
                  <wp:positionH relativeFrom="column">
                    <wp:posOffset>581025</wp:posOffset>
                  </wp:positionH>
                  <wp:positionV relativeFrom="paragraph">
                    <wp:posOffset>361950</wp:posOffset>
                  </wp:positionV>
                  <wp:extent cx="1485900" cy="28575"/>
                  <wp:effectExtent l="0" t="0" r="635" b="0"/>
                  <wp:wrapNone/>
                  <wp:docPr id="27" name="Łącznik prosty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39702" y="3359943"/>
                            <a:ext cx="1466754" cy="1"/>
                            <a:chOff x="1439702" y="3359943"/>
                            <a:chExt cx="1466754" cy="1"/>
                          </a:xfrm>
                        </a:grpSpPr>
                        <a:cxnSp>
                          <a:nvCxnSpPr>
                            <a:cNvPr id="14" name="Łącznik prosty 13"/>
                            <a:cNvCxnSpPr/>
                          </a:nvCxnSpPr>
                          <a:spPr>
                            <a:xfrm flipV="1">
                              <a:off x="1433511" y="3367087"/>
                              <a:ext cx="1466850" cy="1"/>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1125"/>
                <w:tblCellSpacing w:w="0" w:type="dxa"/>
              </w:trPr>
              <w:tc>
                <w:tcPr>
                  <w:tcW w:w="4160" w:type="dxa"/>
                  <w:tcBorders>
                    <w:top w:val="nil"/>
                    <w:left w:val="nil"/>
                    <w:bottom w:val="nil"/>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wynik netto  x 100%                                                       Średni stan aktywów</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nil"/>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0,0 %                                    powyżej 0,0% do 2,0 %                                             powyżej 2,0% do 4,0%                                                                                        powyżej 4,0%</w:t>
            </w:r>
          </w:p>
        </w:tc>
        <w:tc>
          <w:tcPr>
            <w:tcW w:w="834" w:type="dxa"/>
            <w:tcBorders>
              <w:top w:val="nil"/>
              <w:left w:val="nil"/>
              <w:bottom w:val="nil"/>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0                          3                             4                                                                    </w:t>
            </w:r>
            <w:r w:rsidRPr="00E2264F">
              <w:rPr>
                <w:rFonts w:ascii="Garamond" w:eastAsia="Times New Roman" w:hAnsi="Garamond" w:cs="Arial"/>
                <w:b/>
                <w:bCs/>
                <w:sz w:val="20"/>
                <w:szCs w:val="20"/>
                <w:lang w:eastAsia="pl-PL"/>
              </w:rPr>
              <w:t>5</w:t>
            </w:r>
          </w:p>
        </w:tc>
        <w:tc>
          <w:tcPr>
            <w:tcW w:w="943" w:type="dxa"/>
            <w:tcBorders>
              <w:top w:val="nil"/>
              <w:left w:val="nil"/>
              <w:bottom w:val="nil"/>
              <w:right w:val="single" w:sz="4" w:space="0" w:color="auto"/>
            </w:tcBorders>
            <w:shd w:val="clear" w:color="000000" w:fill="FFFFFF"/>
            <w:vAlign w:val="center"/>
            <w:hideMark/>
          </w:tcPr>
          <w:p w:rsidR="00E2264F" w:rsidRPr="00E2264F" w:rsidRDefault="00DE5DE3" w:rsidP="00E2264F">
            <w:pPr>
              <w:spacing w:after="0" w:line="240" w:lineRule="auto"/>
              <w:jc w:val="center"/>
              <w:rPr>
                <w:rFonts w:ascii="Garamond" w:eastAsia="Times New Roman" w:hAnsi="Garamond" w:cs="Arial"/>
                <w:b/>
                <w:bCs/>
                <w:color w:val="000000"/>
                <w:lang w:eastAsia="pl-PL"/>
              </w:rPr>
            </w:pPr>
            <w:r>
              <w:rPr>
                <w:rFonts w:ascii="Garamond" w:eastAsia="Times New Roman" w:hAnsi="Garamond" w:cs="Arial"/>
                <w:b/>
                <w:bCs/>
                <w:color w:val="000000"/>
                <w:lang w:eastAsia="pl-PL"/>
              </w:rPr>
              <w:t>7,17</w:t>
            </w:r>
            <w:r w:rsidR="00E2264F" w:rsidRPr="00E2264F">
              <w:rPr>
                <w:rFonts w:ascii="Garamond" w:eastAsia="Times New Roman" w:hAnsi="Garamond" w:cs="Arial"/>
                <w:b/>
                <w:bCs/>
                <w:color w:val="000000"/>
                <w:lang w:eastAsia="pl-PL"/>
              </w:rPr>
              <w:t>%</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420454"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5</w:t>
            </w:r>
          </w:p>
        </w:tc>
      </w:tr>
      <w:tr w:rsidR="00E2264F" w:rsidRPr="00E2264F" w:rsidTr="002A01E0">
        <w:trPr>
          <w:trHeight w:val="480"/>
        </w:trPr>
        <w:tc>
          <w:tcPr>
            <w:tcW w:w="5534" w:type="dxa"/>
            <w:gridSpan w:val="2"/>
            <w:tcBorders>
              <w:top w:val="single" w:sz="8" w:space="0" w:color="auto"/>
              <w:left w:val="single" w:sz="8" w:space="0" w:color="auto"/>
              <w:bottom w:val="single" w:sz="8" w:space="0" w:color="auto"/>
              <w:right w:val="nil"/>
            </w:tcBorders>
            <w:shd w:val="clear" w:color="000000" w:fill="FF9900"/>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          RAZEM   WSKAŹNIKI   ZYSKOWNOŚCI</w:t>
            </w:r>
          </w:p>
        </w:tc>
        <w:tc>
          <w:tcPr>
            <w:tcW w:w="2367" w:type="dxa"/>
            <w:tcBorders>
              <w:top w:val="single" w:sz="8" w:space="0" w:color="auto"/>
              <w:left w:val="single" w:sz="4" w:space="0" w:color="auto"/>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Maksymalna ocena  pkt.</w:t>
            </w:r>
          </w:p>
        </w:tc>
        <w:tc>
          <w:tcPr>
            <w:tcW w:w="834" w:type="dxa"/>
            <w:tcBorders>
              <w:top w:val="single" w:sz="8" w:space="0" w:color="auto"/>
              <w:left w:val="nil"/>
              <w:bottom w:val="single" w:sz="8" w:space="0" w:color="auto"/>
              <w:right w:val="single" w:sz="4" w:space="0" w:color="auto"/>
            </w:tcBorders>
            <w:shd w:val="clear" w:color="000000" w:fill="FF9900"/>
            <w:noWrap/>
            <w:vAlign w:val="center"/>
            <w:hideMark/>
          </w:tcPr>
          <w:p w:rsidR="00E2264F" w:rsidRPr="00E2264F" w:rsidRDefault="00E2264F" w:rsidP="00E2264F">
            <w:pPr>
              <w:spacing w:after="0" w:line="240" w:lineRule="auto"/>
              <w:jc w:val="center"/>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15</w:t>
            </w:r>
          </w:p>
        </w:tc>
        <w:tc>
          <w:tcPr>
            <w:tcW w:w="943" w:type="dxa"/>
            <w:tcBorders>
              <w:top w:val="single" w:sz="8" w:space="0" w:color="auto"/>
              <w:left w:val="nil"/>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color w:val="000000"/>
                <w:sz w:val="20"/>
                <w:szCs w:val="20"/>
                <w:lang w:eastAsia="pl-PL"/>
              </w:rPr>
            </w:pPr>
            <w:r w:rsidRPr="00E2264F">
              <w:rPr>
                <w:rFonts w:ascii="Garamond" w:eastAsia="Times New Roman" w:hAnsi="Garamond" w:cs="Arial"/>
                <w:color w:val="000000"/>
                <w:sz w:val="20"/>
                <w:szCs w:val="20"/>
                <w:lang w:eastAsia="pl-PL"/>
              </w:rPr>
              <w:t>Uzyskane pkt.</w:t>
            </w:r>
          </w:p>
        </w:tc>
        <w:tc>
          <w:tcPr>
            <w:tcW w:w="899" w:type="dxa"/>
            <w:tcBorders>
              <w:top w:val="single" w:sz="8" w:space="0" w:color="auto"/>
              <w:left w:val="nil"/>
              <w:bottom w:val="single" w:sz="8" w:space="0" w:color="auto"/>
              <w:right w:val="single" w:sz="8" w:space="0" w:color="auto"/>
            </w:tcBorders>
            <w:shd w:val="clear" w:color="000000" w:fill="FF9900"/>
            <w:vAlign w:val="center"/>
            <w:hideMark/>
          </w:tcPr>
          <w:p w:rsidR="00E2264F" w:rsidRPr="00E2264F" w:rsidRDefault="00420454"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15</w:t>
            </w:r>
          </w:p>
        </w:tc>
      </w:tr>
      <w:tr w:rsidR="00E2264F" w:rsidRPr="00E2264F" w:rsidTr="002A01E0">
        <w:trPr>
          <w:trHeight w:val="75"/>
        </w:trPr>
        <w:tc>
          <w:tcPr>
            <w:tcW w:w="1374" w:type="dxa"/>
            <w:tcBorders>
              <w:top w:val="nil"/>
              <w:left w:val="nil"/>
              <w:bottom w:val="nil"/>
              <w:right w:val="nil"/>
            </w:tcBorders>
            <w:shd w:val="clear" w:color="000000" w:fill="FFFFFF"/>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w:t>
            </w:r>
          </w:p>
        </w:tc>
        <w:tc>
          <w:tcPr>
            <w:tcW w:w="4160" w:type="dxa"/>
            <w:tcBorders>
              <w:top w:val="nil"/>
              <w:left w:val="nil"/>
              <w:bottom w:val="nil"/>
              <w:right w:val="nil"/>
            </w:tcBorders>
            <w:shd w:val="clear" w:color="000000" w:fill="FFFFFF"/>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w:t>
            </w:r>
          </w:p>
        </w:tc>
        <w:tc>
          <w:tcPr>
            <w:tcW w:w="2367" w:type="dxa"/>
            <w:tcBorders>
              <w:top w:val="nil"/>
              <w:left w:val="nil"/>
              <w:bottom w:val="nil"/>
              <w:right w:val="nil"/>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834" w:type="dxa"/>
            <w:tcBorders>
              <w:top w:val="nil"/>
              <w:left w:val="nil"/>
              <w:bottom w:val="nil"/>
              <w:right w:val="nil"/>
            </w:tcBorders>
            <w:shd w:val="clear" w:color="000000" w:fill="FFFFFF"/>
            <w:noWrap/>
            <w:vAlign w:val="center"/>
            <w:hideMark/>
          </w:tcPr>
          <w:p w:rsidR="00E2264F" w:rsidRPr="00E2264F" w:rsidRDefault="00E2264F" w:rsidP="00E2264F">
            <w:pPr>
              <w:spacing w:after="0" w:line="240" w:lineRule="auto"/>
              <w:jc w:val="center"/>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w:t>
            </w:r>
          </w:p>
        </w:tc>
        <w:tc>
          <w:tcPr>
            <w:tcW w:w="943" w:type="dxa"/>
            <w:tcBorders>
              <w:top w:val="nil"/>
              <w:left w:val="nil"/>
              <w:bottom w:val="nil"/>
              <w:right w:val="nil"/>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color w:val="000000"/>
                <w:sz w:val="20"/>
                <w:szCs w:val="20"/>
                <w:lang w:eastAsia="pl-PL"/>
              </w:rPr>
            </w:pPr>
            <w:r w:rsidRPr="00E2264F">
              <w:rPr>
                <w:rFonts w:ascii="Garamond" w:eastAsia="Times New Roman" w:hAnsi="Garamond" w:cs="Arial"/>
                <w:color w:val="000000"/>
                <w:sz w:val="20"/>
                <w:szCs w:val="20"/>
                <w:lang w:eastAsia="pl-PL"/>
              </w:rPr>
              <w:t> </w:t>
            </w:r>
          </w:p>
        </w:tc>
        <w:tc>
          <w:tcPr>
            <w:tcW w:w="899" w:type="dxa"/>
            <w:tcBorders>
              <w:top w:val="nil"/>
              <w:left w:val="nil"/>
              <w:bottom w:val="nil"/>
              <w:right w:val="nil"/>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 </w:t>
            </w:r>
          </w:p>
        </w:tc>
      </w:tr>
      <w:tr w:rsidR="00E2264F" w:rsidRPr="00E2264F" w:rsidTr="002A01E0">
        <w:trPr>
          <w:trHeight w:val="315"/>
        </w:trPr>
        <w:tc>
          <w:tcPr>
            <w:tcW w:w="5534" w:type="dxa"/>
            <w:gridSpan w:val="2"/>
            <w:tcBorders>
              <w:top w:val="single" w:sz="8" w:space="0" w:color="auto"/>
              <w:left w:val="single" w:sz="8" w:space="0" w:color="auto"/>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II.     WSKAŹNIKI PŁYNNOŚCI</w:t>
            </w:r>
          </w:p>
        </w:tc>
        <w:tc>
          <w:tcPr>
            <w:tcW w:w="2367" w:type="dxa"/>
            <w:tcBorders>
              <w:top w:val="single" w:sz="8" w:space="0" w:color="auto"/>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34" w:type="dxa"/>
            <w:tcBorders>
              <w:top w:val="single" w:sz="8" w:space="0" w:color="auto"/>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943" w:type="dxa"/>
            <w:tcBorders>
              <w:top w:val="single" w:sz="8" w:space="0" w:color="auto"/>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99" w:type="dxa"/>
            <w:tcBorders>
              <w:top w:val="single" w:sz="8" w:space="0" w:color="auto"/>
              <w:left w:val="nil"/>
              <w:bottom w:val="single" w:sz="4" w:space="0" w:color="auto"/>
              <w:right w:val="single" w:sz="8" w:space="0" w:color="auto"/>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lang w:eastAsia="pl-PL"/>
              </w:rPr>
            </w:pPr>
            <w:r w:rsidRPr="00E2264F">
              <w:rPr>
                <w:rFonts w:ascii="Garamond" w:eastAsia="Times New Roman" w:hAnsi="Garamond" w:cs="Arial"/>
                <w:b/>
                <w:bCs/>
                <w:lang w:eastAsia="pl-PL"/>
              </w:rPr>
              <w:t> </w:t>
            </w:r>
          </w:p>
        </w:tc>
      </w:tr>
      <w:tr w:rsidR="00E2264F" w:rsidRPr="00E2264F" w:rsidTr="002A01E0">
        <w:trPr>
          <w:trHeight w:val="2100"/>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Płynności bieżącej</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7216" behindDoc="0" locked="0" layoutInCell="1" allowOverlap="1">
                  <wp:simplePos x="0" y="0"/>
                  <wp:positionH relativeFrom="column">
                    <wp:posOffset>76200</wp:posOffset>
                  </wp:positionH>
                  <wp:positionV relativeFrom="paragraph">
                    <wp:posOffset>695325</wp:posOffset>
                  </wp:positionV>
                  <wp:extent cx="2343150" cy="28575"/>
                  <wp:effectExtent l="0" t="0" r="0" b="0"/>
                  <wp:wrapNone/>
                  <wp:docPr id="26" name="Łącznik prosty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33450" y="4953000"/>
                            <a:ext cx="2325952" cy="2"/>
                            <a:chOff x="933450" y="4953000"/>
                            <a:chExt cx="2325952" cy="2"/>
                          </a:xfrm>
                        </a:grpSpPr>
                        <a:cxnSp>
                          <a:nvCxnSpPr>
                            <a:cNvPr id="19" name="Łącznik prosty 18"/>
                            <a:cNvCxnSpPr/>
                          </a:nvCxnSpPr>
                          <a:spPr>
                            <a:xfrm flipV="1">
                              <a:off x="1609725" y="4476750"/>
                              <a:ext cx="2324100" cy="2"/>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2100"/>
                <w:tblCellSpacing w:w="0" w:type="dxa"/>
              </w:trPr>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aktywa obrotowe - należności krótkoterminowe                       z tytułu dostaw i usług, o okresie spłaty powyżej 12 miesięcy - krótkoterminowe rozliczenia międzyokresowe (czynne)                                                                                                                 zobowiązania krótkoterminowe - zobowiązania                    z tytułu dostaw i usług, o okresie wymagalności powyżej 12  miesięcy + rezerwy na zobowiązania krótkoterminowe</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0,6                                     od 0,60 do 1,00                              powyżej 1,00 do 1,50                                             powyżej 1,5 do 3,00                                                                                        powyżej 3,00 lub jeżeli zobowiązania krótkoterminowe = 0 zł</w:t>
            </w:r>
          </w:p>
        </w:tc>
        <w:tc>
          <w:tcPr>
            <w:tcW w:w="834" w:type="dxa"/>
            <w:tcBorders>
              <w:top w:val="nil"/>
              <w:left w:val="nil"/>
              <w:bottom w:val="single" w:sz="4" w:space="0" w:color="auto"/>
              <w:right w:val="single" w:sz="4" w:space="0" w:color="auto"/>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0                          4                                                    8                             </w:t>
            </w:r>
            <w:r w:rsidRPr="00DE0DD5">
              <w:rPr>
                <w:rFonts w:ascii="Garamond" w:eastAsia="Times New Roman" w:hAnsi="Garamond" w:cs="Arial"/>
                <w:bCs/>
                <w:sz w:val="20"/>
                <w:szCs w:val="20"/>
                <w:lang w:eastAsia="pl-PL"/>
              </w:rPr>
              <w:t>12</w:t>
            </w:r>
            <w:r w:rsidRPr="00E2264F">
              <w:rPr>
                <w:rFonts w:ascii="Garamond" w:eastAsia="Times New Roman" w:hAnsi="Garamond" w:cs="Arial"/>
                <w:b/>
                <w:bCs/>
                <w:sz w:val="20"/>
                <w:szCs w:val="20"/>
                <w:lang w:eastAsia="pl-PL"/>
              </w:rPr>
              <w:t xml:space="preserve">  </w:t>
            </w:r>
            <w:r w:rsidRPr="00E2264F">
              <w:rPr>
                <w:rFonts w:ascii="Garamond" w:eastAsia="Times New Roman" w:hAnsi="Garamond" w:cs="Arial"/>
                <w:sz w:val="20"/>
                <w:szCs w:val="20"/>
                <w:lang w:eastAsia="pl-PL"/>
              </w:rPr>
              <w:t xml:space="preserve">                                                                  </w:t>
            </w:r>
            <w:r w:rsidRPr="00DE0DD5">
              <w:rPr>
                <w:rFonts w:ascii="Garamond" w:eastAsia="Times New Roman" w:hAnsi="Garamond" w:cs="Arial"/>
                <w:b/>
                <w:sz w:val="20"/>
                <w:szCs w:val="20"/>
                <w:lang w:eastAsia="pl-PL"/>
              </w:rPr>
              <w:t>10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5,57</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10</w:t>
            </w:r>
          </w:p>
        </w:tc>
      </w:tr>
      <w:tr w:rsidR="00E2264F" w:rsidRPr="00E2264F" w:rsidTr="002A01E0">
        <w:trPr>
          <w:trHeight w:val="2100"/>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Płynności szybkiej</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8240" behindDoc="0" locked="0" layoutInCell="1" allowOverlap="1">
                  <wp:simplePos x="0" y="0"/>
                  <wp:positionH relativeFrom="column">
                    <wp:posOffset>95250</wp:posOffset>
                  </wp:positionH>
                  <wp:positionV relativeFrom="paragraph">
                    <wp:posOffset>695325</wp:posOffset>
                  </wp:positionV>
                  <wp:extent cx="2343150" cy="19050"/>
                  <wp:effectExtent l="0" t="0" r="0" b="635"/>
                  <wp:wrapNone/>
                  <wp:docPr id="25" name="Łącznik prosty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0595" y="6286500"/>
                            <a:ext cx="2325952" cy="2"/>
                            <a:chOff x="950595" y="6286500"/>
                            <a:chExt cx="2325952" cy="2"/>
                          </a:xfrm>
                        </a:grpSpPr>
                        <a:cxnSp>
                          <a:nvCxnSpPr>
                            <a:cNvPr id="24" name="Łącznik prosty 23"/>
                            <a:cNvCxnSpPr/>
                          </a:nvCxnSpPr>
                          <a:spPr>
                            <a:xfrm flipV="1">
                              <a:off x="1619250" y="5972175"/>
                              <a:ext cx="2324100" cy="2"/>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2100"/>
                <w:tblCellSpacing w:w="0" w:type="dxa"/>
              </w:trPr>
              <w:tc>
                <w:tcPr>
                  <w:tcW w:w="4160"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aktywa obrotowe - należności krótkoterminowe                          z tytułu dostaw i usług, o okresie spłaty powyżej 12 miesięcy - krótkoterminowe rozliczenia międzyokresowe (czynne) - zapasy                                            zobowiązania krótkoterminowe - zobowiązania                               z tytułu dostaw i usług, o okresie wymagalności powyżej 12 miesięcy + rezerwy na zobowiązania krótkoterminowe</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000000" w:fill="FFFFFF"/>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0,50                                    powyżej 0,50 do 1,00                                             powyżej 1,00 do 2,50                                                                                       powyżej 2,50 lub jeżeli zobowiązania krótkoterminowe = 0 zł</w:t>
            </w:r>
          </w:p>
        </w:tc>
        <w:tc>
          <w:tcPr>
            <w:tcW w:w="834" w:type="dxa"/>
            <w:tcBorders>
              <w:top w:val="nil"/>
              <w:left w:val="nil"/>
              <w:bottom w:val="single" w:sz="4" w:space="0" w:color="auto"/>
              <w:right w:val="single" w:sz="4" w:space="0" w:color="auto"/>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0                          8                             </w:t>
            </w:r>
            <w:r w:rsidRPr="00DE0DD5">
              <w:rPr>
                <w:rFonts w:ascii="Garamond" w:eastAsia="Times New Roman" w:hAnsi="Garamond" w:cs="Arial"/>
                <w:bCs/>
                <w:sz w:val="20"/>
                <w:szCs w:val="20"/>
                <w:lang w:eastAsia="pl-PL"/>
              </w:rPr>
              <w:t>13</w:t>
            </w:r>
            <w:r w:rsidRPr="00E2264F">
              <w:rPr>
                <w:rFonts w:ascii="Garamond" w:eastAsia="Times New Roman" w:hAnsi="Garamond" w:cs="Arial"/>
                <w:b/>
                <w:bCs/>
                <w:sz w:val="20"/>
                <w:szCs w:val="20"/>
                <w:lang w:eastAsia="pl-PL"/>
              </w:rPr>
              <w:t xml:space="preserve"> </w:t>
            </w:r>
            <w:r w:rsidRPr="00E2264F">
              <w:rPr>
                <w:rFonts w:ascii="Garamond" w:eastAsia="Times New Roman" w:hAnsi="Garamond" w:cs="Arial"/>
                <w:sz w:val="20"/>
                <w:szCs w:val="20"/>
                <w:lang w:eastAsia="pl-PL"/>
              </w:rPr>
              <w:t xml:space="preserve">                                                                   </w:t>
            </w:r>
            <w:r w:rsidRPr="00DE0DD5">
              <w:rPr>
                <w:rFonts w:ascii="Garamond" w:eastAsia="Times New Roman" w:hAnsi="Garamond" w:cs="Arial"/>
                <w:b/>
                <w:sz w:val="20"/>
                <w:szCs w:val="20"/>
                <w:lang w:eastAsia="pl-PL"/>
              </w:rPr>
              <w:t>10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5,55</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10</w:t>
            </w:r>
          </w:p>
        </w:tc>
      </w:tr>
      <w:tr w:rsidR="00E2264F" w:rsidRPr="00E2264F" w:rsidTr="002A01E0">
        <w:trPr>
          <w:trHeight w:val="375"/>
        </w:trPr>
        <w:tc>
          <w:tcPr>
            <w:tcW w:w="5534" w:type="dxa"/>
            <w:gridSpan w:val="2"/>
            <w:tcBorders>
              <w:top w:val="single" w:sz="8" w:space="0" w:color="auto"/>
              <w:left w:val="single" w:sz="8" w:space="0" w:color="auto"/>
              <w:bottom w:val="single" w:sz="8" w:space="0" w:color="auto"/>
              <w:right w:val="nil"/>
            </w:tcBorders>
            <w:shd w:val="clear" w:color="000000" w:fill="FF9900"/>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          RAZEM   WSKAŹNIKI   PŁYNNOŚCI</w:t>
            </w:r>
          </w:p>
        </w:tc>
        <w:tc>
          <w:tcPr>
            <w:tcW w:w="2367" w:type="dxa"/>
            <w:tcBorders>
              <w:top w:val="single" w:sz="8" w:space="0" w:color="auto"/>
              <w:left w:val="single" w:sz="4" w:space="0" w:color="auto"/>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Maksymalna ocena  pkt.</w:t>
            </w:r>
          </w:p>
        </w:tc>
        <w:tc>
          <w:tcPr>
            <w:tcW w:w="834" w:type="dxa"/>
            <w:tcBorders>
              <w:top w:val="single" w:sz="8" w:space="0" w:color="auto"/>
              <w:left w:val="nil"/>
              <w:bottom w:val="single" w:sz="8" w:space="0" w:color="auto"/>
              <w:right w:val="single" w:sz="4" w:space="0" w:color="auto"/>
            </w:tcBorders>
            <w:shd w:val="clear" w:color="000000" w:fill="FF9900"/>
            <w:noWrap/>
            <w:vAlign w:val="center"/>
            <w:hideMark/>
          </w:tcPr>
          <w:p w:rsidR="00E2264F" w:rsidRPr="00E2264F" w:rsidRDefault="00E2264F" w:rsidP="00E2264F">
            <w:pPr>
              <w:spacing w:after="0" w:line="240" w:lineRule="auto"/>
              <w:jc w:val="center"/>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25</w:t>
            </w:r>
          </w:p>
        </w:tc>
        <w:tc>
          <w:tcPr>
            <w:tcW w:w="943" w:type="dxa"/>
            <w:tcBorders>
              <w:top w:val="single" w:sz="8" w:space="0" w:color="auto"/>
              <w:left w:val="nil"/>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color w:val="000000"/>
                <w:sz w:val="20"/>
                <w:szCs w:val="20"/>
                <w:lang w:eastAsia="pl-PL"/>
              </w:rPr>
            </w:pPr>
            <w:r w:rsidRPr="00E2264F">
              <w:rPr>
                <w:rFonts w:ascii="Garamond" w:eastAsia="Times New Roman" w:hAnsi="Garamond" w:cs="Arial"/>
                <w:color w:val="000000"/>
                <w:sz w:val="20"/>
                <w:szCs w:val="20"/>
                <w:lang w:eastAsia="pl-PL"/>
              </w:rPr>
              <w:t>Uzyskane pkt.</w:t>
            </w:r>
          </w:p>
        </w:tc>
        <w:tc>
          <w:tcPr>
            <w:tcW w:w="899" w:type="dxa"/>
            <w:tcBorders>
              <w:top w:val="single" w:sz="8" w:space="0" w:color="auto"/>
              <w:left w:val="nil"/>
              <w:bottom w:val="single" w:sz="8" w:space="0" w:color="auto"/>
              <w:right w:val="single" w:sz="8" w:space="0" w:color="auto"/>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20</w:t>
            </w:r>
          </w:p>
        </w:tc>
      </w:tr>
      <w:tr w:rsidR="00E2264F" w:rsidRPr="00E2264F" w:rsidTr="000D3E5E">
        <w:trPr>
          <w:trHeight w:val="46"/>
        </w:trPr>
        <w:tc>
          <w:tcPr>
            <w:tcW w:w="1374"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lang w:eastAsia="pl-PL"/>
              </w:rPr>
            </w:pPr>
            <w:r w:rsidRPr="00E2264F">
              <w:rPr>
                <w:rFonts w:ascii="Garamond" w:eastAsia="Times New Roman" w:hAnsi="Garamond" w:cs="Arial"/>
                <w:b/>
                <w:bCs/>
                <w:lang w:eastAsia="pl-PL"/>
              </w:rPr>
              <w:t> </w:t>
            </w:r>
          </w:p>
        </w:tc>
        <w:tc>
          <w:tcPr>
            <w:tcW w:w="4160" w:type="dxa"/>
            <w:tcBorders>
              <w:top w:val="single" w:sz="4" w:space="0" w:color="auto"/>
              <w:left w:val="nil"/>
              <w:bottom w:val="single" w:sz="4" w:space="0" w:color="auto"/>
              <w:right w:val="nil"/>
            </w:tcBorders>
            <w:shd w:val="clear" w:color="000000" w:fill="FFFFFF"/>
            <w:vAlign w:val="center"/>
            <w:hideMark/>
          </w:tcPr>
          <w:p w:rsidR="00E2264F" w:rsidRPr="00E2264F" w:rsidRDefault="00E2264F" w:rsidP="000D3E5E">
            <w:pPr>
              <w:spacing w:after="0" w:line="240" w:lineRule="auto"/>
              <w:rPr>
                <w:rFonts w:ascii="Garamond" w:eastAsia="Times New Roman" w:hAnsi="Garamond" w:cs="Arial"/>
                <w:sz w:val="20"/>
                <w:szCs w:val="20"/>
                <w:lang w:eastAsia="pl-PL"/>
              </w:rPr>
            </w:pPr>
          </w:p>
        </w:tc>
        <w:tc>
          <w:tcPr>
            <w:tcW w:w="2367" w:type="dxa"/>
            <w:tcBorders>
              <w:top w:val="single" w:sz="4" w:space="0" w:color="auto"/>
              <w:left w:val="nil"/>
              <w:bottom w:val="single" w:sz="4" w:space="0" w:color="auto"/>
              <w:right w:val="nil"/>
            </w:tcBorders>
            <w:shd w:val="clear" w:color="000000" w:fill="FFFFFF"/>
            <w:hideMark/>
          </w:tcPr>
          <w:p w:rsid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p w:rsidR="00DD6E7C" w:rsidRDefault="00DD6E7C" w:rsidP="00E2264F">
            <w:pPr>
              <w:spacing w:after="0" w:line="240" w:lineRule="auto"/>
              <w:jc w:val="center"/>
              <w:rPr>
                <w:rFonts w:ascii="Garamond" w:eastAsia="Times New Roman" w:hAnsi="Garamond" w:cs="Arial"/>
                <w:sz w:val="20"/>
                <w:szCs w:val="20"/>
                <w:lang w:eastAsia="pl-PL"/>
              </w:rPr>
            </w:pPr>
          </w:p>
          <w:p w:rsidR="00DD6E7C" w:rsidRDefault="00DD6E7C" w:rsidP="00E2264F">
            <w:pPr>
              <w:spacing w:after="0" w:line="240" w:lineRule="auto"/>
              <w:jc w:val="center"/>
              <w:rPr>
                <w:rFonts w:ascii="Garamond" w:eastAsia="Times New Roman" w:hAnsi="Garamond" w:cs="Arial"/>
                <w:sz w:val="20"/>
                <w:szCs w:val="20"/>
                <w:lang w:eastAsia="pl-PL"/>
              </w:rPr>
            </w:pPr>
          </w:p>
          <w:p w:rsidR="00DD6E7C" w:rsidRDefault="00DD6E7C" w:rsidP="00E2264F">
            <w:pPr>
              <w:spacing w:after="0" w:line="240" w:lineRule="auto"/>
              <w:jc w:val="center"/>
              <w:rPr>
                <w:rFonts w:ascii="Garamond" w:eastAsia="Times New Roman" w:hAnsi="Garamond" w:cs="Arial"/>
                <w:sz w:val="20"/>
                <w:szCs w:val="20"/>
                <w:lang w:eastAsia="pl-PL"/>
              </w:rPr>
            </w:pPr>
          </w:p>
          <w:p w:rsidR="00DD6E7C" w:rsidRDefault="00DD6E7C" w:rsidP="00E2264F">
            <w:pPr>
              <w:spacing w:after="0" w:line="240" w:lineRule="auto"/>
              <w:jc w:val="center"/>
              <w:rPr>
                <w:rFonts w:ascii="Garamond" w:eastAsia="Times New Roman" w:hAnsi="Garamond" w:cs="Arial"/>
                <w:sz w:val="20"/>
                <w:szCs w:val="20"/>
                <w:lang w:eastAsia="pl-PL"/>
              </w:rPr>
            </w:pPr>
          </w:p>
          <w:p w:rsidR="00DD6E7C" w:rsidRPr="00E2264F" w:rsidRDefault="00DD6E7C" w:rsidP="00E2264F">
            <w:pPr>
              <w:spacing w:after="0" w:line="240" w:lineRule="auto"/>
              <w:jc w:val="center"/>
              <w:rPr>
                <w:rFonts w:ascii="Garamond" w:eastAsia="Times New Roman" w:hAnsi="Garamond" w:cs="Arial"/>
                <w:sz w:val="20"/>
                <w:szCs w:val="20"/>
                <w:lang w:eastAsia="pl-PL"/>
              </w:rPr>
            </w:pPr>
          </w:p>
        </w:tc>
        <w:tc>
          <w:tcPr>
            <w:tcW w:w="834" w:type="dxa"/>
            <w:tcBorders>
              <w:top w:val="single" w:sz="4" w:space="0" w:color="auto"/>
              <w:left w:val="nil"/>
              <w:bottom w:val="single" w:sz="4" w:space="0" w:color="auto"/>
              <w:right w:val="nil"/>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943"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c>
          <w:tcPr>
            <w:tcW w:w="899" w:type="dxa"/>
            <w:tcBorders>
              <w:top w:val="single" w:sz="4" w:space="0" w:color="auto"/>
              <w:left w:val="nil"/>
              <w:bottom w:val="single" w:sz="4" w:space="0" w:color="auto"/>
              <w:right w:val="single" w:sz="8"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r>
      <w:tr w:rsidR="00E2264F" w:rsidRPr="00E2264F" w:rsidTr="002A01E0">
        <w:trPr>
          <w:trHeight w:val="375"/>
        </w:trPr>
        <w:tc>
          <w:tcPr>
            <w:tcW w:w="10577" w:type="dxa"/>
            <w:gridSpan w:val="6"/>
            <w:tcBorders>
              <w:top w:val="single" w:sz="4" w:space="0" w:color="auto"/>
              <w:left w:val="nil"/>
              <w:bottom w:val="single" w:sz="4" w:space="0" w:color="auto"/>
              <w:right w:val="single" w:sz="8" w:space="0" w:color="000000"/>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lastRenderedPageBreak/>
              <w:t>III.     WSKAŹNIKI EFEKTYWNOŚCI</w:t>
            </w:r>
          </w:p>
        </w:tc>
      </w:tr>
      <w:tr w:rsidR="00E2264F" w:rsidRPr="00E2264F" w:rsidTr="002A01E0">
        <w:trPr>
          <w:trHeight w:val="1275"/>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Rotacji należności                             (w dniach)</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59264" behindDoc="0" locked="0" layoutInCell="1" allowOverlap="1">
                  <wp:simplePos x="0" y="0"/>
                  <wp:positionH relativeFrom="column">
                    <wp:posOffset>57150</wp:posOffset>
                  </wp:positionH>
                  <wp:positionV relativeFrom="paragraph">
                    <wp:posOffset>333375</wp:posOffset>
                  </wp:positionV>
                  <wp:extent cx="2381250" cy="19050"/>
                  <wp:effectExtent l="0" t="0" r="0" b="635"/>
                  <wp:wrapNone/>
                  <wp:docPr id="20" name="Łącznik prosty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2495" y="7818120"/>
                            <a:ext cx="2364053" cy="1"/>
                            <a:chOff x="912495" y="7818120"/>
                            <a:chExt cx="2364053" cy="1"/>
                          </a:xfrm>
                        </a:grpSpPr>
                        <a:cxnSp>
                          <a:nvCxnSpPr>
                            <a:cNvPr id="25" name="Łącznik prosty 24"/>
                            <a:cNvCxnSpPr/>
                          </a:nvCxnSpPr>
                          <a:spPr>
                            <a:xfrm flipV="1">
                              <a:off x="1581150" y="7010400"/>
                              <a:ext cx="2362200" cy="1"/>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1275"/>
                <w:tblCellSpacing w:w="0" w:type="dxa"/>
              </w:trPr>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średni stan należności z tytułu dostaw i usług                              x liczba dni  w okresie (365)                                           przychody netto ze sprzedaży produktów                                      + przychody netto ze sprzedaży towarów                                  i materiałów </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45 dni                                   od 45 dni do 60 dni                                             od 61 dni do 90 dni                                                                                       powyżej 90 dni</w:t>
            </w:r>
          </w:p>
        </w:tc>
        <w:tc>
          <w:tcPr>
            <w:tcW w:w="834"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b/>
                <w:bCs/>
                <w:sz w:val="20"/>
                <w:szCs w:val="20"/>
                <w:lang w:eastAsia="pl-PL"/>
              </w:rPr>
              <w:t xml:space="preserve">3 </w:t>
            </w:r>
            <w:r w:rsidRPr="00E2264F">
              <w:rPr>
                <w:rFonts w:ascii="Garamond" w:eastAsia="Times New Roman" w:hAnsi="Garamond" w:cs="Arial"/>
                <w:sz w:val="20"/>
                <w:szCs w:val="20"/>
                <w:lang w:eastAsia="pl-PL"/>
              </w:rPr>
              <w:t xml:space="preserve">                         2                             1                                                                    0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1</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3</w:t>
            </w:r>
          </w:p>
        </w:tc>
      </w:tr>
      <w:tr w:rsidR="00E2264F" w:rsidRPr="00E2264F" w:rsidTr="002A01E0">
        <w:trPr>
          <w:trHeight w:val="1290"/>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Rotacji zobowiązań (w dniach) </w:t>
            </w:r>
          </w:p>
        </w:tc>
        <w:tc>
          <w:tcPr>
            <w:tcW w:w="4160" w:type="dxa"/>
            <w:tcBorders>
              <w:top w:val="nil"/>
              <w:left w:val="nil"/>
              <w:bottom w:val="nil"/>
              <w:right w:val="nil"/>
            </w:tcBorders>
            <w:shd w:val="clear" w:color="auto" w:fill="auto"/>
            <w:noWrap/>
            <w:vAlign w:val="bottom"/>
            <w:hideMark/>
          </w:tcPr>
          <w:p w:rsidR="00E2264F" w:rsidRPr="00E2264F" w:rsidRDefault="00E2264F" w:rsidP="00E2264F">
            <w:pPr>
              <w:spacing w:after="0" w:line="240" w:lineRule="auto"/>
              <w:rPr>
                <w:rFonts w:ascii="Arial" w:eastAsia="Times New Roman" w:hAnsi="Arial" w:cs="Arial"/>
                <w:sz w:val="20"/>
                <w:szCs w:val="20"/>
                <w:lang w:eastAsia="pl-PL"/>
              </w:rPr>
            </w:pPr>
            <w:r>
              <w:rPr>
                <w:rFonts w:ascii="Arial" w:eastAsia="Times New Roman" w:hAnsi="Arial" w:cs="Arial"/>
                <w:noProof/>
                <w:sz w:val="20"/>
                <w:szCs w:val="20"/>
                <w:lang w:eastAsia="pl-PL"/>
              </w:rPr>
              <w:drawing>
                <wp:anchor distT="0" distB="0" distL="114300" distR="114300" simplePos="0" relativeHeight="251660288" behindDoc="0" locked="0" layoutInCell="1" allowOverlap="1">
                  <wp:simplePos x="0" y="0"/>
                  <wp:positionH relativeFrom="column">
                    <wp:posOffset>57150</wp:posOffset>
                  </wp:positionH>
                  <wp:positionV relativeFrom="paragraph">
                    <wp:posOffset>323850</wp:posOffset>
                  </wp:positionV>
                  <wp:extent cx="2381250" cy="28575"/>
                  <wp:effectExtent l="0" t="0" r="0" b="0"/>
                  <wp:wrapNone/>
                  <wp:docPr id="19" name="Łącznik prosty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14400" y="8627745"/>
                            <a:ext cx="2364223" cy="0"/>
                            <a:chOff x="914400" y="8627745"/>
                            <a:chExt cx="2364223" cy="0"/>
                          </a:xfrm>
                        </a:grpSpPr>
                        <a:cxnSp>
                          <a:nvCxnSpPr>
                            <a:cNvPr id="26" name="Łącznik prosty 25"/>
                            <a:cNvCxnSpPr/>
                          </a:nvCxnSpPr>
                          <a:spPr>
                            <a:xfrm>
                              <a:off x="1590675" y="7829550"/>
                              <a:ext cx="2352675" cy="0"/>
                            </a:xfrm>
                            <a:prstGeom prst="line">
                              <a:avLst/>
                            </a:prstGeom>
                            <a:ln w="12700"/>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4015"/>
            </w:tblGrid>
            <w:tr w:rsidR="00E2264F" w:rsidRPr="00E2264F">
              <w:trPr>
                <w:trHeight w:val="1290"/>
                <w:tblCellSpacing w:w="0" w:type="dxa"/>
              </w:trPr>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średni stan zobowiązań z tytułu dostaw i usług                       x liczba dni w okresie (365)                                           przychody netto ze sprzedaży produktów                                 + przychody netto ze sprzedaży towarów                                 i materiałów</w:t>
                  </w:r>
                </w:p>
              </w:tc>
            </w:tr>
          </w:tbl>
          <w:p w:rsidR="00E2264F" w:rsidRPr="00E2264F" w:rsidRDefault="00E2264F" w:rsidP="00E2264F">
            <w:pPr>
              <w:spacing w:after="0" w:line="240" w:lineRule="auto"/>
              <w:rPr>
                <w:rFonts w:ascii="Arial" w:eastAsia="Times New Roman" w:hAnsi="Arial" w:cs="Arial"/>
                <w:sz w:val="20"/>
                <w:szCs w:val="20"/>
                <w:lang w:eastAsia="pl-PL"/>
              </w:rPr>
            </w:pPr>
          </w:p>
        </w:tc>
        <w:tc>
          <w:tcPr>
            <w:tcW w:w="2367"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do 60 dni                                   od 61 dni do 90 dni                                                    powyżej 90 dni</w:t>
            </w:r>
          </w:p>
        </w:tc>
        <w:tc>
          <w:tcPr>
            <w:tcW w:w="834"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DE0DD5">
              <w:rPr>
                <w:rFonts w:ascii="Garamond" w:eastAsia="Times New Roman" w:hAnsi="Garamond" w:cs="Arial"/>
                <w:b/>
                <w:bCs/>
                <w:sz w:val="20"/>
                <w:szCs w:val="20"/>
                <w:lang w:eastAsia="pl-PL"/>
              </w:rPr>
              <w:t>7</w:t>
            </w:r>
            <w:r w:rsidRPr="00E2264F">
              <w:rPr>
                <w:rFonts w:ascii="Garamond" w:eastAsia="Times New Roman" w:hAnsi="Garamond" w:cs="Arial"/>
                <w:b/>
                <w:bCs/>
                <w:sz w:val="20"/>
                <w:szCs w:val="20"/>
                <w:lang w:eastAsia="pl-PL"/>
              </w:rPr>
              <w:t xml:space="preserve"> </w:t>
            </w:r>
            <w:r w:rsidRPr="00E2264F">
              <w:rPr>
                <w:rFonts w:ascii="Garamond" w:eastAsia="Times New Roman" w:hAnsi="Garamond" w:cs="Arial"/>
                <w:sz w:val="20"/>
                <w:szCs w:val="20"/>
                <w:lang w:eastAsia="pl-PL"/>
              </w:rPr>
              <w:t xml:space="preserve">                                                                   4                                  0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4</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7</w:t>
            </w:r>
          </w:p>
        </w:tc>
      </w:tr>
      <w:tr w:rsidR="00E2264F" w:rsidRPr="00E2264F" w:rsidTr="002A01E0">
        <w:trPr>
          <w:trHeight w:val="390"/>
        </w:trPr>
        <w:tc>
          <w:tcPr>
            <w:tcW w:w="5534" w:type="dxa"/>
            <w:gridSpan w:val="2"/>
            <w:tcBorders>
              <w:top w:val="single" w:sz="8" w:space="0" w:color="auto"/>
              <w:left w:val="single" w:sz="8" w:space="0" w:color="auto"/>
              <w:bottom w:val="single" w:sz="8" w:space="0" w:color="auto"/>
              <w:right w:val="nil"/>
            </w:tcBorders>
            <w:shd w:val="clear" w:color="000000" w:fill="FF9900"/>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          RAZEM   WSKAŹNIKI  EFEKTYWNOŚCI</w:t>
            </w:r>
          </w:p>
        </w:tc>
        <w:tc>
          <w:tcPr>
            <w:tcW w:w="2367" w:type="dxa"/>
            <w:tcBorders>
              <w:top w:val="single" w:sz="8" w:space="0" w:color="auto"/>
              <w:left w:val="single" w:sz="4" w:space="0" w:color="auto"/>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Maksymalna ocena  pkt.</w:t>
            </w:r>
          </w:p>
        </w:tc>
        <w:tc>
          <w:tcPr>
            <w:tcW w:w="834" w:type="dxa"/>
            <w:tcBorders>
              <w:top w:val="single" w:sz="8" w:space="0" w:color="auto"/>
              <w:left w:val="nil"/>
              <w:bottom w:val="single" w:sz="8" w:space="0" w:color="auto"/>
              <w:right w:val="single" w:sz="4" w:space="0" w:color="auto"/>
            </w:tcBorders>
            <w:shd w:val="clear" w:color="000000" w:fill="FF9900"/>
            <w:noWrap/>
            <w:vAlign w:val="center"/>
            <w:hideMark/>
          </w:tcPr>
          <w:p w:rsidR="00E2264F" w:rsidRPr="00E2264F" w:rsidRDefault="00E2264F" w:rsidP="00E2264F">
            <w:pPr>
              <w:spacing w:after="0" w:line="240" w:lineRule="auto"/>
              <w:jc w:val="center"/>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10</w:t>
            </w:r>
          </w:p>
        </w:tc>
        <w:tc>
          <w:tcPr>
            <w:tcW w:w="943" w:type="dxa"/>
            <w:tcBorders>
              <w:top w:val="single" w:sz="8" w:space="0" w:color="auto"/>
              <w:left w:val="nil"/>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color w:val="000000"/>
                <w:sz w:val="20"/>
                <w:szCs w:val="20"/>
                <w:lang w:eastAsia="pl-PL"/>
              </w:rPr>
            </w:pPr>
            <w:r w:rsidRPr="00E2264F">
              <w:rPr>
                <w:rFonts w:ascii="Garamond" w:eastAsia="Times New Roman" w:hAnsi="Garamond" w:cs="Arial"/>
                <w:color w:val="000000"/>
                <w:sz w:val="20"/>
                <w:szCs w:val="20"/>
                <w:lang w:eastAsia="pl-PL"/>
              </w:rPr>
              <w:t>Uzyskane pkt.</w:t>
            </w:r>
          </w:p>
        </w:tc>
        <w:tc>
          <w:tcPr>
            <w:tcW w:w="899" w:type="dxa"/>
            <w:tcBorders>
              <w:top w:val="single" w:sz="8" w:space="0" w:color="auto"/>
              <w:left w:val="nil"/>
              <w:bottom w:val="single" w:sz="8" w:space="0" w:color="auto"/>
              <w:right w:val="single" w:sz="8" w:space="0" w:color="auto"/>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10</w:t>
            </w:r>
          </w:p>
        </w:tc>
      </w:tr>
      <w:tr w:rsidR="00E2264F" w:rsidRPr="00E2264F" w:rsidTr="002A01E0">
        <w:trPr>
          <w:trHeight w:val="105"/>
        </w:trPr>
        <w:tc>
          <w:tcPr>
            <w:tcW w:w="1374"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lang w:eastAsia="pl-PL"/>
              </w:rPr>
            </w:pPr>
            <w:r w:rsidRPr="00E2264F">
              <w:rPr>
                <w:rFonts w:ascii="Garamond" w:eastAsia="Times New Roman" w:hAnsi="Garamond" w:cs="Arial"/>
                <w:b/>
                <w:bCs/>
                <w:lang w:eastAsia="pl-PL"/>
              </w:rPr>
              <w:t> </w:t>
            </w:r>
          </w:p>
        </w:tc>
        <w:tc>
          <w:tcPr>
            <w:tcW w:w="4160"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2367" w:type="dxa"/>
            <w:tcBorders>
              <w:top w:val="single" w:sz="4" w:space="0" w:color="auto"/>
              <w:left w:val="nil"/>
              <w:bottom w:val="single" w:sz="4" w:space="0" w:color="auto"/>
              <w:right w:val="nil"/>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834"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943" w:type="dxa"/>
            <w:tcBorders>
              <w:top w:val="single" w:sz="4" w:space="0" w:color="auto"/>
              <w:left w:val="nil"/>
              <w:bottom w:val="single" w:sz="4" w:space="0" w:color="auto"/>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c>
          <w:tcPr>
            <w:tcW w:w="899" w:type="dxa"/>
            <w:tcBorders>
              <w:top w:val="single" w:sz="4" w:space="0" w:color="auto"/>
              <w:left w:val="nil"/>
              <w:bottom w:val="single" w:sz="4" w:space="0" w:color="auto"/>
              <w:right w:val="single" w:sz="8"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r>
      <w:tr w:rsidR="00E2264F" w:rsidRPr="00E2264F" w:rsidTr="002A01E0">
        <w:trPr>
          <w:trHeight w:val="240"/>
        </w:trPr>
        <w:tc>
          <w:tcPr>
            <w:tcW w:w="5534" w:type="dxa"/>
            <w:gridSpan w:val="2"/>
            <w:tcBorders>
              <w:top w:val="single" w:sz="4" w:space="0" w:color="auto"/>
              <w:left w:val="single" w:sz="8" w:space="0" w:color="auto"/>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IV.     WSKAŹNIKI ZADŁUŻENIA</w:t>
            </w:r>
          </w:p>
        </w:tc>
        <w:tc>
          <w:tcPr>
            <w:tcW w:w="2367"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34"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943" w:type="dxa"/>
            <w:tcBorders>
              <w:top w:val="nil"/>
              <w:left w:val="nil"/>
              <w:bottom w:val="single" w:sz="4" w:space="0" w:color="auto"/>
              <w:right w:val="nil"/>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 </w:t>
            </w:r>
          </w:p>
        </w:tc>
        <w:tc>
          <w:tcPr>
            <w:tcW w:w="899" w:type="dxa"/>
            <w:tcBorders>
              <w:top w:val="nil"/>
              <w:left w:val="nil"/>
              <w:bottom w:val="single" w:sz="4" w:space="0" w:color="auto"/>
              <w:right w:val="single" w:sz="8" w:space="0" w:color="auto"/>
            </w:tcBorders>
            <w:shd w:val="clear" w:color="000000" w:fill="969696"/>
            <w:noWrap/>
            <w:vAlign w:val="center"/>
            <w:hideMark/>
          </w:tcPr>
          <w:p w:rsidR="00E2264F" w:rsidRPr="00E2264F" w:rsidRDefault="00E2264F" w:rsidP="00E2264F">
            <w:pPr>
              <w:spacing w:after="0" w:line="240" w:lineRule="auto"/>
              <w:rPr>
                <w:rFonts w:ascii="Garamond" w:eastAsia="Times New Roman" w:hAnsi="Garamond" w:cs="Arial"/>
                <w:b/>
                <w:bCs/>
                <w:lang w:eastAsia="pl-PL"/>
              </w:rPr>
            </w:pPr>
            <w:r w:rsidRPr="00E2264F">
              <w:rPr>
                <w:rFonts w:ascii="Garamond" w:eastAsia="Times New Roman" w:hAnsi="Garamond" w:cs="Arial"/>
                <w:b/>
                <w:bCs/>
                <w:lang w:eastAsia="pl-PL"/>
              </w:rPr>
              <w:t> </w:t>
            </w:r>
          </w:p>
        </w:tc>
      </w:tr>
      <w:tr w:rsidR="00E2264F" w:rsidRPr="00E2264F" w:rsidTr="002A01E0">
        <w:trPr>
          <w:trHeight w:val="1020"/>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Zadłużenia aktywów                       %</w:t>
            </w:r>
          </w:p>
        </w:tc>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(zobowiązania długoterminowe  + zobowiązania krótkoterminowe + rezerwy na zobowiązania )                         x 100%                                                                                                                                                 aktywa razem</w:t>
            </w:r>
          </w:p>
        </w:tc>
        <w:tc>
          <w:tcPr>
            <w:tcW w:w="2367"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poniżej 40 %                                    od 40%  do  60%                                             powyżej 60% do 80%                                                                                        powyżej 80%</w:t>
            </w:r>
          </w:p>
        </w:tc>
        <w:tc>
          <w:tcPr>
            <w:tcW w:w="834"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b/>
                <w:bCs/>
                <w:sz w:val="20"/>
                <w:szCs w:val="20"/>
                <w:lang w:eastAsia="pl-PL"/>
              </w:rPr>
              <w:t>10</w:t>
            </w:r>
            <w:r w:rsidRPr="00E2264F">
              <w:rPr>
                <w:rFonts w:ascii="Garamond" w:eastAsia="Times New Roman" w:hAnsi="Garamond" w:cs="Arial"/>
                <w:sz w:val="20"/>
                <w:szCs w:val="20"/>
                <w:lang w:eastAsia="pl-PL"/>
              </w:rPr>
              <w:t xml:space="preserve">                          8                             3                                                                    0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DE5DE3"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11</w:t>
            </w:r>
            <w:r w:rsidR="00E2264F" w:rsidRPr="00E2264F">
              <w:rPr>
                <w:rFonts w:ascii="Garamond" w:eastAsia="Times New Roman" w:hAnsi="Garamond" w:cs="Arial"/>
                <w:b/>
                <w:bCs/>
                <w:lang w:eastAsia="pl-PL"/>
              </w:rPr>
              <w:t>%</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10</w:t>
            </w:r>
          </w:p>
        </w:tc>
      </w:tr>
      <w:tr w:rsidR="00E2264F" w:rsidRPr="00E2264F" w:rsidTr="002A01E0">
        <w:trPr>
          <w:trHeight w:val="1545"/>
        </w:trPr>
        <w:tc>
          <w:tcPr>
            <w:tcW w:w="1374" w:type="dxa"/>
            <w:tcBorders>
              <w:top w:val="nil"/>
              <w:left w:val="single" w:sz="8" w:space="0" w:color="auto"/>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Wypłacalności</w:t>
            </w:r>
          </w:p>
        </w:tc>
        <w:tc>
          <w:tcPr>
            <w:tcW w:w="4160"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zobowiązania długoterminowe  + zobowiązania krótkoterminowe + rezerwy na zobowiązania                                                                       fundusz własny</w:t>
            </w:r>
          </w:p>
        </w:tc>
        <w:tc>
          <w:tcPr>
            <w:tcW w:w="2367"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xml:space="preserve"> od 0,00 do 0,50                               od 0,51 do 1,00                                             od 1,01 do 2,00                                                  od 2,01  do 4,00                                                                                       powyżej 4,00 lub poniżej 0,00</w:t>
            </w:r>
          </w:p>
        </w:tc>
        <w:tc>
          <w:tcPr>
            <w:tcW w:w="834" w:type="dxa"/>
            <w:tcBorders>
              <w:top w:val="nil"/>
              <w:left w:val="nil"/>
              <w:bottom w:val="single" w:sz="4" w:space="0" w:color="auto"/>
              <w:right w:val="single" w:sz="4" w:space="0" w:color="auto"/>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b/>
                <w:bCs/>
                <w:sz w:val="20"/>
                <w:szCs w:val="20"/>
                <w:lang w:eastAsia="pl-PL"/>
              </w:rPr>
              <w:t>10</w:t>
            </w:r>
            <w:r w:rsidRPr="00E2264F">
              <w:rPr>
                <w:rFonts w:ascii="Garamond" w:eastAsia="Times New Roman" w:hAnsi="Garamond" w:cs="Arial"/>
                <w:sz w:val="20"/>
                <w:szCs w:val="20"/>
                <w:lang w:eastAsia="pl-PL"/>
              </w:rPr>
              <w:t xml:space="preserve">                          8                             6                                                                    4                                  0</w:t>
            </w:r>
          </w:p>
        </w:tc>
        <w:tc>
          <w:tcPr>
            <w:tcW w:w="943" w:type="dxa"/>
            <w:tcBorders>
              <w:top w:val="nil"/>
              <w:left w:val="nil"/>
              <w:bottom w:val="single" w:sz="4" w:space="0" w:color="auto"/>
              <w:right w:val="single" w:sz="4" w:space="0" w:color="auto"/>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0,</w:t>
            </w:r>
            <w:r w:rsidR="00DE5DE3">
              <w:rPr>
                <w:rFonts w:ascii="Garamond" w:eastAsia="Times New Roman" w:hAnsi="Garamond" w:cs="Arial"/>
                <w:b/>
                <w:bCs/>
                <w:lang w:eastAsia="pl-PL"/>
              </w:rPr>
              <w:t>17</w:t>
            </w:r>
          </w:p>
        </w:tc>
        <w:tc>
          <w:tcPr>
            <w:tcW w:w="899" w:type="dxa"/>
            <w:tcBorders>
              <w:top w:val="nil"/>
              <w:left w:val="nil"/>
              <w:bottom w:val="single" w:sz="4" w:space="0" w:color="auto"/>
              <w:right w:val="single" w:sz="4" w:space="0" w:color="auto"/>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10</w:t>
            </w:r>
          </w:p>
        </w:tc>
      </w:tr>
      <w:tr w:rsidR="00E2264F" w:rsidRPr="00E2264F" w:rsidTr="002A01E0">
        <w:trPr>
          <w:trHeight w:val="375"/>
        </w:trPr>
        <w:tc>
          <w:tcPr>
            <w:tcW w:w="5534" w:type="dxa"/>
            <w:gridSpan w:val="2"/>
            <w:tcBorders>
              <w:top w:val="single" w:sz="8" w:space="0" w:color="auto"/>
              <w:left w:val="single" w:sz="8" w:space="0" w:color="auto"/>
              <w:bottom w:val="single" w:sz="8" w:space="0" w:color="auto"/>
              <w:right w:val="nil"/>
            </w:tcBorders>
            <w:shd w:val="clear" w:color="000000" w:fill="FF9900"/>
            <w:noWrap/>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xml:space="preserve">          RAZEM   WSKAŹNIKI  EFEKTYWNOŚCI</w:t>
            </w:r>
          </w:p>
        </w:tc>
        <w:tc>
          <w:tcPr>
            <w:tcW w:w="2367" w:type="dxa"/>
            <w:tcBorders>
              <w:top w:val="single" w:sz="8" w:space="0" w:color="auto"/>
              <w:left w:val="single" w:sz="4" w:space="0" w:color="auto"/>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Maksymalna ocena  pkt.</w:t>
            </w:r>
          </w:p>
        </w:tc>
        <w:tc>
          <w:tcPr>
            <w:tcW w:w="834" w:type="dxa"/>
            <w:tcBorders>
              <w:top w:val="single" w:sz="8" w:space="0" w:color="auto"/>
              <w:left w:val="nil"/>
              <w:bottom w:val="single" w:sz="8" w:space="0" w:color="auto"/>
              <w:right w:val="single" w:sz="4" w:space="0" w:color="auto"/>
            </w:tcBorders>
            <w:shd w:val="clear" w:color="000000" w:fill="FF9900"/>
            <w:noWrap/>
            <w:vAlign w:val="center"/>
            <w:hideMark/>
          </w:tcPr>
          <w:p w:rsidR="00E2264F" w:rsidRPr="00E2264F" w:rsidRDefault="00E2264F" w:rsidP="00E2264F">
            <w:pPr>
              <w:spacing w:after="0" w:line="240" w:lineRule="auto"/>
              <w:jc w:val="center"/>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20</w:t>
            </w:r>
          </w:p>
        </w:tc>
        <w:tc>
          <w:tcPr>
            <w:tcW w:w="943" w:type="dxa"/>
            <w:tcBorders>
              <w:top w:val="single" w:sz="8" w:space="0" w:color="auto"/>
              <w:left w:val="nil"/>
              <w:bottom w:val="single" w:sz="8" w:space="0" w:color="auto"/>
              <w:right w:val="nil"/>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color w:val="000000"/>
                <w:sz w:val="20"/>
                <w:szCs w:val="20"/>
                <w:lang w:eastAsia="pl-PL"/>
              </w:rPr>
            </w:pPr>
            <w:r w:rsidRPr="00E2264F">
              <w:rPr>
                <w:rFonts w:ascii="Garamond" w:eastAsia="Times New Roman" w:hAnsi="Garamond" w:cs="Arial"/>
                <w:color w:val="000000"/>
                <w:sz w:val="20"/>
                <w:szCs w:val="20"/>
                <w:lang w:eastAsia="pl-PL"/>
              </w:rPr>
              <w:t>Uzyskane pkt.</w:t>
            </w:r>
          </w:p>
        </w:tc>
        <w:tc>
          <w:tcPr>
            <w:tcW w:w="899" w:type="dxa"/>
            <w:tcBorders>
              <w:top w:val="single" w:sz="8" w:space="0" w:color="auto"/>
              <w:left w:val="nil"/>
              <w:bottom w:val="single" w:sz="8" w:space="0" w:color="auto"/>
              <w:right w:val="single" w:sz="8" w:space="0" w:color="auto"/>
            </w:tcBorders>
            <w:shd w:val="clear" w:color="000000" w:fill="FF9900"/>
            <w:vAlign w:val="center"/>
            <w:hideMark/>
          </w:tcPr>
          <w:p w:rsidR="00E2264F" w:rsidRPr="00E2264F" w:rsidRDefault="00E2264F" w:rsidP="00E2264F">
            <w:pPr>
              <w:spacing w:after="0" w:line="240" w:lineRule="auto"/>
              <w:jc w:val="center"/>
              <w:rPr>
                <w:rFonts w:ascii="Garamond" w:eastAsia="Times New Roman" w:hAnsi="Garamond" w:cs="Arial"/>
                <w:b/>
                <w:bCs/>
                <w:lang w:eastAsia="pl-PL"/>
              </w:rPr>
            </w:pPr>
            <w:r w:rsidRPr="00E2264F">
              <w:rPr>
                <w:rFonts w:ascii="Garamond" w:eastAsia="Times New Roman" w:hAnsi="Garamond" w:cs="Arial"/>
                <w:b/>
                <w:bCs/>
                <w:lang w:eastAsia="pl-PL"/>
              </w:rPr>
              <w:t>20</w:t>
            </w:r>
          </w:p>
        </w:tc>
      </w:tr>
      <w:tr w:rsidR="00E2264F" w:rsidRPr="00E2264F" w:rsidTr="002A01E0">
        <w:trPr>
          <w:trHeight w:val="210"/>
        </w:trPr>
        <w:tc>
          <w:tcPr>
            <w:tcW w:w="1374" w:type="dxa"/>
            <w:tcBorders>
              <w:top w:val="single" w:sz="4" w:space="0" w:color="auto"/>
              <w:left w:val="nil"/>
              <w:bottom w:val="nil"/>
              <w:right w:val="nil"/>
            </w:tcBorders>
            <w:shd w:val="clear" w:color="auto" w:fill="auto"/>
            <w:vAlign w:val="center"/>
            <w:hideMark/>
          </w:tcPr>
          <w:p w:rsidR="00E2264F" w:rsidRPr="00E2264F" w:rsidRDefault="00E2264F" w:rsidP="00E2264F">
            <w:pPr>
              <w:spacing w:after="0" w:line="240" w:lineRule="auto"/>
              <w:rPr>
                <w:rFonts w:ascii="Garamond" w:eastAsia="Times New Roman" w:hAnsi="Garamond" w:cs="Arial"/>
                <w:b/>
                <w:bCs/>
                <w:sz w:val="20"/>
                <w:szCs w:val="20"/>
                <w:lang w:eastAsia="pl-PL"/>
              </w:rPr>
            </w:pPr>
            <w:r w:rsidRPr="00E2264F">
              <w:rPr>
                <w:rFonts w:ascii="Garamond" w:eastAsia="Times New Roman" w:hAnsi="Garamond" w:cs="Arial"/>
                <w:b/>
                <w:bCs/>
                <w:sz w:val="20"/>
                <w:szCs w:val="20"/>
                <w:lang w:eastAsia="pl-PL"/>
              </w:rPr>
              <w:t> </w:t>
            </w:r>
          </w:p>
        </w:tc>
        <w:tc>
          <w:tcPr>
            <w:tcW w:w="4160" w:type="dxa"/>
            <w:tcBorders>
              <w:top w:val="single" w:sz="4" w:space="0" w:color="auto"/>
              <w:left w:val="nil"/>
              <w:bottom w:val="nil"/>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2367" w:type="dxa"/>
            <w:tcBorders>
              <w:top w:val="single" w:sz="4" w:space="0" w:color="auto"/>
              <w:left w:val="nil"/>
              <w:bottom w:val="nil"/>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834" w:type="dxa"/>
            <w:tcBorders>
              <w:top w:val="single" w:sz="4" w:space="0" w:color="auto"/>
              <w:left w:val="nil"/>
              <w:bottom w:val="nil"/>
              <w:right w:val="nil"/>
            </w:tcBorders>
            <w:shd w:val="clear" w:color="auto" w:fill="auto"/>
            <w:hideMark/>
          </w:tcPr>
          <w:p w:rsidR="00E2264F" w:rsidRPr="00E2264F" w:rsidRDefault="00E2264F" w:rsidP="00E2264F">
            <w:pPr>
              <w:spacing w:after="0" w:line="240" w:lineRule="auto"/>
              <w:jc w:val="center"/>
              <w:rPr>
                <w:rFonts w:ascii="Garamond" w:eastAsia="Times New Roman" w:hAnsi="Garamond" w:cs="Arial"/>
                <w:sz w:val="20"/>
                <w:szCs w:val="20"/>
                <w:lang w:eastAsia="pl-PL"/>
              </w:rPr>
            </w:pPr>
            <w:r w:rsidRPr="00E2264F">
              <w:rPr>
                <w:rFonts w:ascii="Garamond" w:eastAsia="Times New Roman" w:hAnsi="Garamond" w:cs="Arial"/>
                <w:sz w:val="20"/>
                <w:szCs w:val="20"/>
                <w:lang w:eastAsia="pl-PL"/>
              </w:rPr>
              <w:t> </w:t>
            </w:r>
          </w:p>
        </w:tc>
        <w:tc>
          <w:tcPr>
            <w:tcW w:w="943" w:type="dxa"/>
            <w:tcBorders>
              <w:top w:val="single" w:sz="4" w:space="0" w:color="auto"/>
              <w:left w:val="nil"/>
              <w:bottom w:val="nil"/>
              <w:right w:val="nil"/>
            </w:tcBorders>
            <w:shd w:val="clear" w:color="auto" w:fill="auto"/>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c>
          <w:tcPr>
            <w:tcW w:w="899" w:type="dxa"/>
            <w:tcBorders>
              <w:top w:val="single" w:sz="4" w:space="0" w:color="auto"/>
              <w:left w:val="nil"/>
              <w:bottom w:val="nil"/>
              <w:right w:val="nil"/>
            </w:tcBorders>
            <w:shd w:val="clear" w:color="000000" w:fill="FFFFFF"/>
            <w:vAlign w:val="center"/>
            <w:hideMark/>
          </w:tcPr>
          <w:p w:rsidR="00E2264F" w:rsidRPr="00E2264F" w:rsidRDefault="00E2264F" w:rsidP="00E2264F">
            <w:pPr>
              <w:spacing w:after="0" w:line="240" w:lineRule="auto"/>
              <w:jc w:val="center"/>
              <w:rPr>
                <w:rFonts w:ascii="Garamond" w:eastAsia="Times New Roman" w:hAnsi="Garamond" w:cs="Arial"/>
                <w:lang w:eastAsia="pl-PL"/>
              </w:rPr>
            </w:pPr>
            <w:r w:rsidRPr="00E2264F">
              <w:rPr>
                <w:rFonts w:ascii="Garamond" w:eastAsia="Times New Roman" w:hAnsi="Garamond" w:cs="Arial"/>
                <w:lang w:eastAsia="pl-PL"/>
              </w:rPr>
              <w:t> </w:t>
            </w:r>
          </w:p>
        </w:tc>
      </w:tr>
      <w:tr w:rsidR="00E2264F" w:rsidRPr="00E2264F" w:rsidTr="002A01E0">
        <w:trPr>
          <w:trHeight w:val="390"/>
        </w:trPr>
        <w:tc>
          <w:tcPr>
            <w:tcW w:w="9678" w:type="dxa"/>
            <w:gridSpan w:val="5"/>
            <w:tcBorders>
              <w:top w:val="single" w:sz="4" w:space="0" w:color="auto"/>
              <w:left w:val="single" w:sz="8" w:space="0" w:color="auto"/>
              <w:bottom w:val="single" w:sz="8" w:space="0" w:color="auto"/>
              <w:right w:val="nil"/>
            </w:tcBorders>
            <w:shd w:val="clear" w:color="000000" w:fill="FF9900"/>
            <w:noWrap/>
            <w:vAlign w:val="center"/>
            <w:hideMark/>
          </w:tcPr>
          <w:p w:rsidR="00E2264F" w:rsidRPr="00E2264F" w:rsidRDefault="00E2264F" w:rsidP="00E2264F">
            <w:pPr>
              <w:spacing w:after="0" w:line="240" w:lineRule="auto"/>
              <w:jc w:val="center"/>
              <w:rPr>
                <w:rFonts w:ascii="Garamond" w:eastAsia="Times New Roman" w:hAnsi="Garamond" w:cs="Arial"/>
                <w:b/>
                <w:bCs/>
                <w:sz w:val="24"/>
                <w:szCs w:val="24"/>
                <w:lang w:eastAsia="pl-PL"/>
              </w:rPr>
            </w:pPr>
            <w:r w:rsidRPr="00E2264F">
              <w:rPr>
                <w:rFonts w:ascii="Garamond" w:eastAsia="Times New Roman" w:hAnsi="Garamond" w:cs="Arial"/>
                <w:b/>
                <w:bCs/>
                <w:sz w:val="24"/>
                <w:szCs w:val="24"/>
                <w:lang w:eastAsia="pl-PL"/>
              </w:rPr>
              <w:t>SUMA  UZYSKANYCH  PUNKTÓW</w:t>
            </w:r>
          </w:p>
        </w:tc>
        <w:tc>
          <w:tcPr>
            <w:tcW w:w="899" w:type="dxa"/>
            <w:tcBorders>
              <w:top w:val="single" w:sz="4" w:space="0" w:color="auto"/>
              <w:left w:val="nil"/>
              <w:bottom w:val="single" w:sz="8" w:space="0" w:color="auto"/>
              <w:right w:val="single" w:sz="8" w:space="0" w:color="auto"/>
            </w:tcBorders>
            <w:shd w:val="clear" w:color="000000" w:fill="FF9900"/>
            <w:noWrap/>
            <w:vAlign w:val="center"/>
            <w:hideMark/>
          </w:tcPr>
          <w:p w:rsidR="00E2264F" w:rsidRPr="00E2264F" w:rsidRDefault="00D47947" w:rsidP="00E2264F">
            <w:pPr>
              <w:spacing w:after="0" w:line="240" w:lineRule="auto"/>
              <w:jc w:val="center"/>
              <w:rPr>
                <w:rFonts w:ascii="Garamond" w:eastAsia="Times New Roman" w:hAnsi="Garamond" w:cs="Arial"/>
                <w:b/>
                <w:bCs/>
                <w:lang w:eastAsia="pl-PL"/>
              </w:rPr>
            </w:pPr>
            <w:r>
              <w:rPr>
                <w:rFonts w:ascii="Garamond" w:eastAsia="Times New Roman" w:hAnsi="Garamond" w:cs="Arial"/>
                <w:b/>
                <w:bCs/>
                <w:lang w:eastAsia="pl-PL"/>
              </w:rPr>
              <w:t>65</w:t>
            </w:r>
          </w:p>
        </w:tc>
      </w:tr>
    </w:tbl>
    <w:p w:rsidR="00472966" w:rsidRPr="00524147" w:rsidRDefault="00472966" w:rsidP="00877601">
      <w:pPr>
        <w:rPr>
          <w:rFonts w:eastAsiaTheme="minorEastAsia"/>
          <w:color w:val="000000" w:themeColor="text1"/>
          <w:kern w:val="24"/>
          <w:sz w:val="24"/>
          <w:szCs w:val="24"/>
        </w:rPr>
        <w:sectPr w:rsidR="00472966" w:rsidRPr="00524147" w:rsidSect="002A01E0">
          <w:headerReference w:type="even" r:id="rId8"/>
          <w:headerReference w:type="default" r:id="rId9"/>
          <w:footerReference w:type="even" r:id="rId10"/>
          <w:footerReference w:type="default" r:id="rId11"/>
          <w:headerReference w:type="first" r:id="rId12"/>
          <w:footerReference w:type="first" r:id="rId13"/>
          <w:type w:val="continuous"/>
          <w:pgSz w:w="11906" w:h="16838"/>
          <w:pgMar w:top="568" w:right="991" w:bottom="1134" w:left="993" w:header="708" w:footer="708" w:gutter="0"/>
          <w:cols w:space="708"/>
          <w:docGrid w:linePitch="360"/>
        </w:sectPr>
      </w:pPr>
    </w:p>
    <w:p w:rsidR="00AB3AA2" w:rsidRDefault="00AB3AA2" w:rsidP="001E1158">
      <w:pPr>
        <w:jc w:val="both"/>
        <w:rPr>
          <w:rFonts w:eastAsiaTheme="minorEastAsia"/>
          <w:iCs/>
          <w:color w:val="000000" w:themeColor="text1"/>
          <w:kern w:val="24"/>
          <w:sz w:val="24"/>
          <w:szCs w:val="24"/>
        </w:rPr>
      </w:pPr>
    </w:p>
    <w:p w:rsidR="00F25069" w:rsidRDefault="00F25069" w:rsidP="00F25069">
      <w:pPr>
        <w:ind w:firstLine="708"/>
        <w:jc w:val="both"/>
      </w:pPr>
      <w:r>
        <w:t>W</w:t>
      </w:r>
      <w:r w:rsidRPr="00C4256A">
        <w:t xml:space="preserve"> związku wyłączeniem działalności Szpit</w:t>
      </w:r>
      <w:r>
        <w:t>ala z powodu pandemii COVID-19 Szpital otrzymał</w:t>
      </w:r>
      <w:r w:rsidRPr="00C4256A">
        <w:t xml:space="preserve"> środki pieniężne w wysokości 70% kwoty wynikającej z umowy na świadczenie usług zdrowotnych z NFZ </w:t>
      </w:r>
      <w:r>
        <w:t>w roku 2020 i 2021</w:t>
      </w:r>
      <w:r w:rsidRPr="00C4256A">
        <w:t xml:space="preserve">. </w:t>
      </w:r>
      <w:r>
        <w:t>ponieważ</w:t>
      </w:r>
      <w:r w:rsidRPr="00C4256A">
        <w:t xml:space="preserve"> w tym okresie nie były wykonywane</w:t>
      </w:r>
      <w:r>
        <w:t xml:space="preserve"> świadczenia zdrowotne.</w:t>
      </w:r>
    </w:p>
    <w:p w:rsidR="00F25069" w:rsidRPr="00B12005" w:rsidRDefault="00F25069" w:rsidP="00F25069">
      <w:pPr>
        <w:jc w:val="both"/>
      </w:pPr>
      <w:r w:rsidRPr="00B12005">
        <w:t>W związku z powyższym, zgodnie z art. 41 ustawy o rachunkowości, w odniesieniu do środkó</w:t>
      </w:r>
      <w:r>
        <w:t>w pieniężnych otrzymanych w 2020 i 2021</w:t>
      </w:r>
      <w:r w:rsidRPr="00B12005">
        <w:t xml:space="preserve"> r. z Narodowego Funduszu Zdrowia (NFZ) dotyczących ryczałtowych przychodów w wysokości 70% za świadczenia zdrowotne, przyjęto rozwiązanie polegające na zaliczeniu ich równowartości w księg</w:t>
      </w:r>
      <w:r>
        <w:t xml:space="preserve">ach rachunkowych </w:t>
      </w:r>
      <w:r w:rsidRPr="00B12005">
        <w:t xml:space="preserve">do rozliczeń międzyokresowych przychodów. </w:t>
      </w:r>
    </w:p>
    <w:p w:rsidR="00DA784E" w:rsidRPr="00EF3F47" w:rsidRDefault="00F25069" w:rsidP="00EF3F47">
      <w:pPr>
        <w:ind w:firstLine="360"/>
        <w:jc w:val="both"/>
        <w:rPr>
          <w:b/>
          <w:u w:val="single"/>
        </w:rPr>
      </w:pPr>
      <w:r w:rsidRPr="00C4256A">
        <w:t>31 grudnia 2021r. Szpital otrzymał informację z NFZ o sfinansowaniu zobowiąz</w:t>
      </w:r>
      <w:r w:rsidRPr="00B12005">
        <w:t>ań wynikających</w:t>
      </w:r>
      <w:r>
        <w:t xml:space="preserve"> z kwot wypłaconych zgodnie z w</w:t>
      </w:r>
      <w:r w:rsidRPr="00B12005">
        <w:t>w</w:t>
      </w:r>
      <w:r>
        <w:t>.</w:t>
      </w:r>
      <w:r w:rsidRPr="00B12005">
        <w:t xml:space="preserve"> przepisami, w wysokości określonej zgodnie z art. 15eu ust. 2 i 3 ustawy z dnia 2 marca 2020r. o szczególnych rozwiązaniach związanych z zapobieg</w:t>
      </w:r>
      <w:r>
        <w:t>a</w:t>
      </w:r>
      <w:r w:rsidRPr="00B12005">
        <w:t>niem i zwalczaniem COVID-19, innych chorób zakaźnych wywołanych nimi sytuacji kryzysowych (Dz.</w:t>
      </w:r>
      <w:r>
        <w:t xml:space="preserve"> U. z 2020r</w:t>
      </w:r>
      <w:r w:rsidRPr="00B12005">
        <w:t>. poz. 1842, z późn.zm.2), w ramach realizacji umów o udzielanie świadczeń opieki zdrowotnej, ryczałty wypłacone w 2020</w:t>
      </w:r>
      <w:r>
        <w:t xml:space="preserve"> r. i </w:t>
      </w:r>
      <w:r w:rsidRPr="00B12005">
        <w:t xml:space="preserve"> 2021r</w:t>
      </w:r>
      <w:r>
        <w:t>. zostały w części umorzone</w:t>
      </w:r>
      <w:r w:rsidRPr="00C4256A">
        <w:t xml:space="preserve">, </w:t>
      </w:r>
      <w:r>
        <w:t>pozostała kwota w wysokości 491 049,21 zł. była odnoszona</w:t>
      </w:r>
      <w:r w:rsidRPr="00C4256A">
        <w:t xml:space="preserve"> na przychody ze sprzedaży usług sukcesywnie do realizowanych świadczeń opieki zdrowotnej, w okresie faktycznego wykonania usług zdrowotnych. </w:t>
      </w:r>
      <w:r>
        <w:t>Na dzień 31.12.2022r. pozostała do odpracowania</w:t>
      </w:r>
      <w:r w:rsidRPr="00C4256A">
        <w:t xml:space="preserve"> kwota w wysokości</w:t>
      </w:r>
      <w:r>
        <w:t xml:space="preserve"> </w:t>
      </w:r>
      <w:r w:rsidRPr="008B1D4B">
        <w:rPr>
          <w:b/>
        </w:rPr>
        <w:t>453 093,21 zł</w:t>
      </w:r>
      <w:r>
        <w:t>, w przypadku</w:t>
      </w:r>
      <w:r w:rsidRPr="00C4256A">
        <w:t xml:space="preserve"> nie</w:t>
      </w:r>
      <w:r>
        <w:t>z</w:t>
      </w:r>
      <w:r w:rsidRPr="00C4256A">
        <w:t xml:space="preserve">realizowania świadczeń, zostanie </w:t>
      </w:r>
      <w:r w:rsidRPr="008B1D4B">
        <w:rPr>
          <w:b/>
          <w:u w:val="single"/>
        </w:rPr>
        <w:t>zwrócone do NFZ w terminie do dnia 31 grudnia 2023r.</w:t>
      </w:r>
    </w:p>
    <w:p w:rsidR="00D90AC3" w:rsidRDefault="00884BE2" w:rsidP="00D90AC3">
      <w:pPr>
        <w:spacing w:after="0" w:line="240" w:lineRule="auto"/>
        <w:ind w:left="-426" w:firstLine="708"/>
        <w:jc w:val="both"/>
        <w:rPr>
          <w:rFonts w:ascii="Times New Roman" w:hAnsi="Times New Roman" w:cs="Times New Roman"/>
          <w:sz w:val="24"/>
          <w:szCs w:val="24"/>
        </w:rPr>
      </w:pPr>
      <w:r w:rsidRPr="006367DF">
        <w:rPr>
          <w:rFonts w:ascii="Times New Roman" w:hAnsi="Times New Roman" w:cs="Times New Roman"/>
          <w:sz w:val="24"/>
          <w:szCs w:val="24"/>
        </w:rPr>
        <w:lastRenderedPageBreak/>
        <w:t xml:space="preserve">Uzyskanie </w:t>
      </w:r>
      <w:r w:rsidR="00932C97">
        <w:rPr>
          <w:rFonts w:ascii="Times New Roman" w:hAnsi="Times New Roman" w:cs="Times New Roman"/>
          <w:b/>
          <w:sz w:val="24"/>
          <w:szCs w:val="24"/>
        </w:rPr>
        <w:t>65</w:t>
      </w:r>
      <w:r w:rsidR="005A6FA7">
        <w:rPr>
          <w:rFonts w:ascii="Times New Roman" w:hAnsi="Times New Roman" w:cs="Times New Roman"/>
          <w:b/>
          <w:sz w:val="24"/>
          <w:szCs w:val="24"/>
        </w:rPr>
        <w:t>/70</w:t>
      </w:r>
      <w:r w:rsidRPr="006367DF">
        <w:rPr>
          <w:rFonts w:ascii="Times New Roman" w:hAnsi="Times New Roman" w:cs="Times New Roman"/>
          <w:sz w:val="24"/>
          <w:szCs w:val="24"/>
        </w:rPr>
        <w:t xml:space="preserve"> możliwych punktów w kategorii wskaźników przy maksymalnej punktacji wskaźników efektywności i zadłużenia oraz bardzo wysokiej ocenie wskaźników płynności   świadczy o stabilności ekonomiczno-finansowej </w:t>
      </w:r>
      <w:proofErr w:type="spellStart"/>
      <w:r w:rsidRPr="006367DF">
        <w:rPr>
          <w:rFonts w:ascii="Times New Roman" w:hAnsi="Times New Roman" w:cs="Times New Roman"/>
          <w:sz w:val="24"/>
          <w:szCs w:val="24"/>
        </w:rPr>
        <w:t>spzoz</w:t>
      </w:r>
      <w:proofErr w:type="spellEnd"/>
      <w:r w:rsidRPr="006367DF">
        <w:rPr>
          <w:rFonts w:ascii="Times New Roman" w:hAnsi="Times New Roman" w:cs="Times New Roman"/>
          <w:sz w:val="24"/>
          <w:szCs w:val="24"/>
        </w:rPr>
        <w:t xml:space="preserve"> i sprawności bieżącego zarządzania jednostką.</w:t>
      </w:r>
    </w:p>
    <w:p w:rsidR="00D90AC3" w:rsidRPr="00D90AC3" w:rsidRDefault="00D90AC3" w:rsidP="00D90AC3">
      <w:pPr>
        <w:spacing w:after="0" w:line="240" w:lineRule="auto"/>
        <w:ind w:left="-426" w:firstLine="708"/>
        <w:jc w:val="both"/>
        <w:rPr>
          <w:rFonts w:ascii="Times New Roman" w:eastAsia="Calibri" w:hAnsi="Times New Roman" w:cs="Times New Roman"/>
          <w:sz w:val="24"/>
          <w:szCs w:val="24"/>
        </w:rPr>
      </w:pPr>
      <w:r w:rsidRPr="00CE7749">
        <w:rPr>
          <w:rFonts w:ascii="Times New Roman" w:eastAsia="Calibri" w:hAnsi="Times New Roman" w:cs="Times New Roman"/>
          <w:sz w:val="24"/>
        </w:rPr>
        <w:t xml:space="preserve">W ocenie kierownictwa Szpitala obecna sytuacja związana </w:t>
      </w:r>
      <w:r w:rsidRPr="00CE7749">
        <w:rPr>
          <w:rFonts w:ascii="Times New Roman" w:eastAsia="Calibri" w:hAnsi="Times New Roman" w:cs="Times New Roman"/>
          <w:bCs/>
          <w:iCs/>
          <w:sz w:val="24"/>
        </w:rPr>
        <w:t>z agresją w dniu 24 lutego 2022 r. Rosji na Ukrainę, toczących się walk oraz napływu uchodźców wojennych</w:t>
      </w:r>
      <w:r w:rsidR="00C42859">
        <w:rPr>
          <w:rFonts w:ascii="Times New Roman" w:eastAsia="Calibri" w:hAnsi="Times New Roman" w:cs="Times New Roman"/>
          <w:bCs/>
          <w:iCs/>
          <w:sz w:val="24"/>
        </w:rPr>
        <w:t xml:space="preserve"> z Ukrainy, nie wpłynie</w:t>
      </w:r>
      <w:r w:rsidRPr="00CE7749">
        <w:rPr>
          <w:rFonts w:ascii="Times New Roman" w:eastAsia="Calibri" w:hAnsi="Times New Roman" w:cs="Times New Roman"/>
          <w:bCs/>
          <w:iCs/>
          <w:sz w:val="24"/>
        </w:rPr>
        <w:t xml:space="preserve"> na </w:t>
      </w:r>
      <w:r w:rsidRPr="00CE7749">
        <w:rPr>
          <w:rFonts w:ascii="Times New Roman" w:eastAsia="Calibri" w:hAnsi="Times New Roman" w:cs="Times New Roman"/>
          <w:sz w:val="24"/>
        </w:rPr>
        <w:t>przyszłą sytuację finansową Szpitala.</w:t>
      </w:r>
    </w:p>
    <w:p w:rsidR="00D90AC3" w:rsidRPr="006367DF" w:rsidRDefault="00D90AC3" w:rsidP="002A01E0">
      <w:pPr>
        <w:ind w:left="-426" w:firstLine="708"/>
        <w:jc w:val="both"/>
        <w:rPr>
          <w:rFonts w:ascii="Times New Roman" w:hAnsi="Times New Roman" w:cs="Times New Roman"/>
          <w:sz w:val="24"/>
          <w:szCs w:val="24"/>
        </w:rPr>
      </w:pPr>
    </w:p>
    <w:p w:rsidR="001E1158" w:rsidRPr="006367DF" w:rsidRDefault="001E1158" w:rsidP="001E1158">
      <w:pPr>
        <w:jc w:val="both"/>
        <w:rPr>
          <w:rFonts w:ascii="Times New Roman" w:eastAsiaTheme="minorEastAsia" w:hAnsi="Times New Roman" w:cs="Times New Roman"/>
          <w:b/>
          <w:color w:val="000000" w:themeColor="text1"/>
          <w:kern w:val="24"/>
          <w:sz w:val="24"/>
          <w:szCs w:val="24"/>
          <w:u w:val="single"/>
        </w:rPr>
      </w:pPr>
      <w:r w:rsidRPr="006367DF">
        <w:rPr>
          <w:rFonts w:ascii="Times New Roman" w:eastAsiaTheme="minorEastAsia" w:hAnsi="Times New Roman" w:cs="Times New Roman"/>
          <w:b/>
          <w:color w:val="000000" w:themeColor="text1"/>
          <w:kern w:val="24"/>
          <w:sz w:val="24"/>
          <w:szCs w:val="24"/>
          <w:u w:val="single"/>
        </w:rPr>
        <w:t>III. Prognoza sytuacji ekonomiczno-finansowej na kolejne trzy lata obrotowe</w:t>
      </w:r>
    </w:p>
    <w:p w:rsidR="001E1158" w:rsidRPr="006367DF" w:rsidRDefault="001E1158" w:rsidP="001E1158">
      <w:pPr>
        <w:jc w:val="both"/>
        <w:rPr>
          <w:rFonts w:ascii="Times New Roman" w:eastAsiaTheme="minorEastAsia" w:hAnsi="Times New Roman" w:cs="Times New Roman"/>
          <w:color w:val="000000" w:themeColor="text1"/>
          <w:kern w:val="24"/>
          <w:sz w:val="24"/>
          <w:szCs w:val="24"/>
        </w:rPr>
      </w:pPr>
      <w:r w:rsidRPr="006367DF">
        <w:rPr>
          <w:rFonts w:ascii="Times New Roman" w:eastAsiaTheme="minorEastAsia" w:hAnsi="Times New Roman" w:cs="Times New Roman"/>
          <w:b/>
          <w:color w:val="000000" w:themeColor="text1"/>
          <w:kern w:val="24"/>
          <w:sz w:val="24"/>
          <w:szCs w:val="24"/>
        </w:rPr>
        <w:t>Opis przyjętych założeń</w:t>
      </w:r>
      <w:r w:rsidRPr="006367DF">
        <w:rPr>
          <w:rFonts w:ascii="Times New Roman" w:eastAsiaTheme="minorEastAsia" w:hAnsi="Times New Roman" w:cs="Times New Roman"/>
          <w:color w:val="000000" w:themeColor="text1"/>
          <w:kern w:val="24"/>
          <w:sz w:val="24"/>
          <w:szCs w:val="24"/>
        </w:rPr>
        <w:t>.</w:t>
      </w:r>
    </w:p>
    <w:p w:rsidR="00DD6E7C" w:rsidRDefault="00440EE6" w:rsidP="00DD6E7C">
      <w:pPr>
        <w:spacing w:after="0" w:line="240" w:lineRule="auto"/>
        <w:ind w:left="-425"/>
        <w:jc w:val="both"/>
        <w:rPr>
          <w:rFonts w:ascii="Times New Roman" w:hAnsi="Times New Roman" w:cs="Times New Roman"/>
          <w:sz w:val="24"/>
          <w:szCs w:val="24"/>
        </w:rPr>
      </w:pPr>
      <w:r w:rsidRPr="006367DF">
        <w:rPr>
          <w:rFonts w:ascii="Times New Roman" w:eastAsiaTheme="minorEastAsia" w:hAnsi="Times New Roman" w:cs="Times New Roman"/>
          <w:color w:val="000000" w:themeColor="text1"/>
          <w:kern w:val="24"/>
          <w:sz w:val="24"/>
          <w:szCs w:val="24"/>
        </w:rPr>
        <w:tab/>
      </w:r>
      <w:r w:rsidRPr="006367DF">
        <w:rPr>
          <w:rFonts w:ascii="Times New Roman" w:hAnsi="Times New Roman" w:cs="Times New Roman"/>
          <w:sz w:val="24"/>
          <w:szCs w:val="24"/>
        </w:rPr>
        <w:t>Samodzielny publiczny zakład opieki zdrowotnej prowadzi gospodarkę finansową na zasadach określonych w ustawie o działalności le</w:t>
      </w:r>
      <w:r w:rsidR="00EF3F47">
        <w:rPr>
          <w:rFonts w:ascii="Times New Roman" w:hAnsi="Times New Roman" w:cs="Times New Roman"/>
          <w:sz w:val="24"/>
          <w:szCs w:val="24"/>
        </w:rPr>
        <w:t>czniczej. Prognoza na okres 2023-2025</w:t>
      </w:r>
      <w:r w:rsidRPr="006367DF">
        <w:rPr>
          <w:rFonts w:ascii="Times New Roman" w:hAnsi="Times New Roman" w:cs="Times New Roman"/>
          <w:sz w:val="24"/>
          <w:szCs w:val="24"/>
        </w:rPr>
        <w:t xml:space="preserve"> rok została opracowana zgodnie z  art.</w:t>
      </w:r>
      <w:r w:rsidRPr="006367DF">
        <w:rPr>
          <w:rFonts w:ascii="Times New Roman" w:hAnsi="Times New Roman" w:cs="Times New Roman"/>
          <w:bCs/>
          <w:sz w:val="24"/>
          <w:szCs w:val="24"/>
        </w:rPr>
        <w:t xml:space="preserve"> 52 ustawy o działalności leczniczej. </w:t>
      </w:r>
      <w:proofErr w:type="spellStart"/>
      <w:r w:rsidRPr="006367DF">
        <w:rPr>
          <w:rFonts w:ascii="Times New Roman" w:hAnsi="Times New Roman" w:cs="Times New Roman"/>
          <w:bCs/>
          <w:sz w:val="24"/>
          <w:szCs w:val="24"/>
        </w:rPr>
        <w:t>S</w:t>
      </w:r>
      <w:r w:rsidRPr="006367DF">
        <w:rPr>
          <w:rFonts w:ascii="Times New Roman" w:hAnsi="Times New Roman" w:cs="Times New Roman"/>
          <w:sz w:val="24"/>
          <w:szCs w:val="24"/>
        </w:rPr>
        <w:t>pzoz</w:t>
      </w:r>
      <w:proofErr w:type="spellEnd"/>
      <w:r w:rsidRPr="006367DF">
        <w:rPr>
          <w:rFonts w:ascii="Times New Roman" w:hAnsi="Times New Roman" w:cs="Times New Roman"/>
          <w:sz w:val="24"/>
          <w:szCs w:val="24"/>
        </w:rPr>
        <w:t xml:space="preserve"> pokrywa z posiadanych środków i uzyskiwanych przychodów koszty działalności i reguluje zobowiązania. W prognozach sytuacji ekonomiczno-finansowej  na kolejne trzy lata obrotowe założono  osiągnięcie dodatniego wyniku finansowego.</w:t>
      </w:r>
    </w:p>
    <w:p w:rsidR="00DD6E7C" w:rsidRPr="00DD6E7C" w:rsidRDefault="00DD6E7C" w:rsidP="00DD6E7C">
      <w:pPr>
        <w:spacing w:after="0" w:line="240" w:lineRule="auto"/>
        <w:ind w:left="-425"/>
        <w:jc w:val="both"/>
        <w:rPr>
          <w:rFonts w:ascii="Times New Roman" w:hAnsi="Times New Roman" w:cs="Times New Roman"/>
          <w:sz w:val="16"/>
          <w:szCs w:val="24"/>
        </w:rPr>
      </w:pPr>
    </w:p>
    <w:p w:rsidR="00A55173" w:rsidRDefault="001E1158" w:rsidP="00A55173">
      <w:pPr>
        <w:jc w:val="both"/>
        <w:rPr>
          <w:rFonts w:ascii="Times New Roman" w:hAnsi="Times New Roman" w:cs="Times New Roman"/>
          <w:b/>
          <w:sz w:val="24"/>
          <w:szCs w:val="24"/>
        </w:rPr>
      </w:pPr>
      <w:r w:rsidRPr="00B53CD3">
        <w:rPr>
          <w:rFonts w:ascii="Times New Roman" w:hAnsi="Times New Roman" w:cs="Times New Roman"/>
          <w:b/>
          <w:sz w:val="24"/>
          <w:szCs w:val="24"/>
        </w:rPr>
        <w:t xml:space="preserve">Wskaźniki </w:t>
      </w:r>
      <w:r w:rsidR="00B63E12" w:rsidRPr="00B53CD3">
        <w:rPr>
          <w:rFonts w:ascii="Times New Roman" w:hAnsi="Times New Roman" w:cs="Times New Roman"/>
          <w:b/>
          <w:sz w:val="24"/>
          <w:szCs w:val="24"/>
        </w:rPr>
        <w:t>makroekonomiczne</w:t>
      </w:r>
      <w:r w:rsidRPr="006367DF">
        <w:rPr>
          <w:rFonts w:ascii="Times New Roman" w:hAnsi="Times New Roman" w:cs="Times New Roman"/>
          <w:b/>
          <w:sz w:val="24"/>
          <w:szCs w:val="24"/>
        </w:rPr>
        <w:t xml:space="preserve"> </w:t>
      </w:r>
    </w:p>
    <w:p w:rsidR="00A55173" w:rsidRDefault="00A55173" w:rsidP="00A55173">
      <w:pPr>
        <w:spacing w:after="0" w:line="240" w:lineRule="auto"/>
        <w:ind w:left="-425"/>
        <w:jc w:val="both"/>
        <w:rPr>
          <w:rFonts w:ascii="Times New Roman" w:eastAsia="Times New Roman" w:hAnsi="Times New Roman" w:cs="Times New Roman"/>
          <w:sz w:val="24"/>
          <w:szCs w:val="24"/>
          <w:lang w:eastAsia="pl-PL"/>
        </w:rPr>
      </w:pPr>
      <w:r w:rsidRPr="00A55173">
        <w:rPr>
          <w:rFonts w:ascii="Times New Roman" w:eastAsia="Times New Roman" w:hAnsi="Times New Roman" w:cs="Times New Roman"/>
          <w:sz w:val="24"/>
          <w:szCs w:val="24"/>
          <w:lang w:eastAsia="pl-PL"/>
        </w:rPr>
        <w:t>Polska gospodarka znalazła się w 2022 roku pod wpływem silnego szoku związanego z wybuchem wojny w Ukrainie, który negatywnie wpłynął na tempo wzrostu PKB i spowodował silny wzrost inflacji. Mimo to polska gospodarka w 2022 roku poradziła sobie stosunkowo dobrze, a realny PKB zwiększył się o 5,1%. W bieżącym roku tempo wzrostu gospodarczego spowolni jednak do 0,9%. W kolejnych latach przewidywane jest stopniowe ożywienie gospodarki.</w:t>
      </w:r>
    </w:p>
    <w:p w:rsidR="00A55173" w:rsidRDefault="00A55173" w:rsidP="00A55173">
      <w:pPr>
        <w:spacing w:after="0" w:line="240" w:lineRule="auto"/>
        <w:ind w:left="-425"/>
        <w:jc w:val="both"/>
        <w:rPr>
          <w:rFonts w:ascii="Times New Roman" w:eastAsia="Times New Roman" w:hAnsi="Times New Roman" w:cs="Times New Roman"/>
          <w:sz w:val="24"/>
          <w:szCs w:val="24"/>
          <w:lang w:eastAsia="pl-PL"/>
        </w:rPr>
      </w:pPr>
      <w:r w:rsidRPr="00A55173">
        <w:rPr>
          <w:rFonts w:ascii="Times New Roman" w:eastAsia="Times New Roman" w:hAnsi="Times New Roman" w:cs="Times New Roman"/>
          <w:sz w:val="24"/>
          <w:szCs w:val="24"/>
          <w:lang w:eastAsia="pl-PL"/>
        </w:rPr>
        <w:t xml:space="preserve">Deficyt sektora instytucji rządowych i samorządowych wzrósł w 2022 roku do 3,7% PKB, podczas gdy dług wyniósł 49,1% PKB. Główną przyczyną wzrostu deficytu były wprowadzone przez rząd działania osłonowe łagodzące skutki wzrostu cen energii. Wspierały one gospodarstwa domowe, podmioty wrażliwe i przedsiębiorstwa w ramach Tarczy antyinflacyjnej, energetycznej i solidarnościowej. Również w roku bieżącym działania te będą istotnym obciążeniem dla sektora instytucji rządowych i samorządowych. Prognozowany deficyt sektora zwiększy się w 2023 roku do 4,7% PKB. Prognoza </w:t>
      </w:r>
      <w:proofErr w:type="spellStart"/>
      <w:r w:rsidRPr="00A55173">
        <w:rPr>
          <w:rFonts w:ascii="Times New Roman" w:eastAsia="Times New Roman" w:hAnsi="Times New Roman" w:cs="Times New Roman"/>
          <w:sz w:val="24"/>
          <w:szCs w:val="24"/>
          <w:lang w:eastAsia="pl-PL"/>
        </w:rPr>
        <w:t>makrofiskalna</w:t>
      </w:r>
      <w:proofErr w:type="spellEnd"/>
      <w:r w:rsidRPr="00A55173">
        <w:rPr>
          <w:rFonts w:ascii="Times New Roman" w:eastAsia="Times New Roman" w:hAnsi="Times New Roman" w:cs="Times New Roman"/>
          <w:sz w:val="24"/>
          <w:szCs w:val="24"/>
          <w:lang w:eastAsia="pl-PL"/>
        </w:rPr>
        <w:t xml:space="preserve"> na rok bieżący w celu urealnienia scenariusza gospodarczego uwzględnia historyczne różnice między prognozowanymi a zrealizowanymi wydatkami sektora.</w:t>
      </w:r>
    </w:p>
    <w:p w:rsidR="00844E64" w:rsidRDefault="00A55173" w:rsidP="00C54205">
      <w:pPr>
        <w:spacing w:after="0" w:line="240" w:lineRule="auto"/>
        <w:ind w:left="-426"/>
        <w:jc w:val="both"/>
        <w:rPr>
          <w:b/>
        </w:rPr>
      </w:pPr>
      <w:r w:rsidRPr="00A55173">
        <w:rPr>
          <w:rFonts w:ascii="Times New Roman" w:eastAsia="Times New Roman" w:hAnsi="Times New Roman" w:cs="Times New Roman"/>
          <w:sz w:val="24"/>
          <w:szCs w:val="24"/>
          <w:lang w:eastAsia="pl-PL"/>
        </w:rPr>
        <w:t>Dynamika popytu krajowego okazała się w efekcie niższa niż rok wcześniej, choć pozostała stosunkowo wysoka. W całym 2022 roku PKB zwiększył się o 5,1%, wobec 6,9% rok wcześniej</w:t>
      </w:r>
      <w:r>
        <w:rPr>
          <w:b/>
        </w:rPr>
        <w:t>.</w:t>
      </w:r>
    </w:p>
    <w:p w:rsidR="00C54205" w:rsidRDefault="00C54205" w:rsidP="00C54205">
      <w:pPr>
        <w:spacing w:after="0" w:line="240" w:lineRule="auto"/>
        <w:ind w:left="-426"/>
        <w:jc w:val="both"/>
        <w:rPr>
          <w:rFonts w:ascii="Times New Roman" w:eastAsia="Times New Roman" w:hAnsi="Times New Roman" w:cs="Times New Roman"/>
          <w:sz w:val="24"/>
          <w:szCs w:val="24"/>
          <w:lang w:eastAsia="pl-PL"/>
        </w:rPr>
      </w:pPr>
      <w:r w:rsidRPr="00C54205">
        <w:rPr>
          <w:rFonts w:ascii="Times New Roman" w:eastAsia="Times New Roman" w:hAnsi="Times New Roman" w:cs="Times New Roman"/>
          <w:sz w:val="24"/>
          <w:szCs w:val="24"/>
          <w:lang w:eastAsia="pl-PL"/>
        </w:rPr>
        <w:t xml:space="preserve">Wysoka dynamika aktywności gospodarczej znalazła odzwierciedlenie w dalszej poprawie sytuacji na rynku pracy. </w:t>
      </w:r>
    </w:p>
    <w:p w:rsidR="00C54205" w:rsidRDefault="00C54205" w:rsidP="00C54205">
      <w:pPr>
        <w:spacing w:after="0" w:line="240" w:lineRule="auto"/>
        <w:ind w:left="-426"/>
        <w:jc w:val="both"/>
        <w:rPr>
          <w:rFonts w:ascii="Times New Roman" w:eastAsia="Times New Roman" w:hAnsi="Times New Roman" w:cs="Times New Roman"/>
          <w:sz w:val="24"/>
          <w:szCs w:val="24"/>
          <w:lang w:eastAsia="pl-PL"/>
        </w:rPr>
      </w:pPr>
      <w:r w:rsidRPr="00C54205">
        <w:rPr>
          <w:rFonts w:ascii="Times New Roman" w:eastAsia="Times New Roman" w:hAnsi="Times New Roman" w:cs="Times New Roman"/>
          <w:sz w:val="24"/>
          <w:szCs w:val="24"/>
          <w:lang w:eastAsia="pl-PL"/>
        </w:rPr>
        <w:t xml:space="preserve">Wzrost popytu na pracę wraz z niskim poziomem stopy bezrobocia przyczyniły się do wysokiego, dwucyfrowego nominalnego wzrostu przeciętnego wynagrodzenia w gospodarce narodowej - o 11,7% </w:t>
      </w:r>
      <w:proofErr w:type="spellStart"/>
      <w:r w:rsidRPr="00C54205">
        <w:rPr>
          <w:rFonts w:ascii="Times New Roman" w:eastAsia="Times New Roman" w:hAnsi="Times New Roman" w:cs="Times New Roman"/>
          <w:sz w:val="24"/>
          <w:szCs w:val="24"/>
          <w:lang w:eastAsia="pl-PL"/>
        </w:rPr>
        <w:t>r</w:t>
      </w:r>
      <w:proofErr w:type="spellEnd"/>
      <w:r w:rsidRPr="00C54205">
        <w:rPr>
          <w:rFonts w:ascii="Times New Roman" w:eastAsia="Times New Roman" w:hAnsi="Times New Roman" w:cs="Times New Roman"/>
          <w:sz w:val="24"/>
          <w:szCs w:val="24"/>
          <w:lang w:eastAsia="pl-PL"/>
        </w:rPr>
        <w:t>/</w:t>
      </w:r>
      <w:proofErr w:type="spellStart"/>
      <w:r w:rsidRPr="00C54205">
        <w:rPr>
          <w:rFonts w:ascii="Times New Roman" w:eastAsia="Times New Roman" w:hAnsi="Times New Roman" w:cs="Times New Roman"/>
          <w:sz w:val="24"/>
          <w:szCs w:val="24"/>
          <w:lang w:eastAsia="pl-PL"/>
        </w:rPr>
        <w:t>r</w:t>
      </w:r>
      <w:proofErr w:type="spellEnd"/>
      <w:r w:rsidRPr="00C54205">
        <w:rPr>
          <w:rFonts w:ascii="Times New Roman" w:eastAsia="Times New Roman" w:hAnsi="Times New Roman" w:cs="Times New Roman"/>
          <w:sz w:val="24"/>
          <w:szCs w:val="24"/>
          <w:lang w:eastAsia="pl-PL"/>
        </w:rPr>
        <w:t xml:space="preserve"> (przy średniej dla lat 2010</w:t>
      </w:r>
      <w:r>
        <w:rPr>
          <w:rFonts w:ascii="Times New Roman" w:eastAsia="Times New Roman" w:hAnsi="Times New Roman" w:cs="Times New Roman"/>
          <w:sz w:val="24"/>
          <w:szCs w:val="24"/>
          <w:lang w:eastAsia="pl-PL"/>
        </w:rPr>
        <w:t>-</w:t>
      </w:r>
      <w:r w:rsidRPr="00C54205">
        <w:rPr>
          <w:rFonts w:ascii="Times New Roman" w:eastAsia="Times New Roman" w:hAnsi="Times New Roman" w:cs="Times New Roman"/>
          <w:sz w:val="24"/>
          <w:szCs w:val="24"/>
          <w:lang w:eastAsia="pl-PL"/>
        </w:rPr>
        <w:t>2021 w wysokości 5,2%).</w:t>
      </w:r>
    </w:p>
    <w:p w:rsidR="00C54205" w:rsidRPr="00C54205" w:rsidRDefault="00C54205" w:rsidP="00C54205">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54205">
        <w:rPr>
          <w:rFonts w:ascii="Times New Roman" w:eastAsia="Times New Roman" w:hAnsi="Times New Roman" w:cs="Times New Roman"/>
          <w:sz w:val="24"/>
          <w:szCs w:val="24"/>
          <w:lang w:eastAsia="pl-PL"/>
        </w:rPr>
        <w:br/>
        <w:t xml:space="preserve">W  2022 roku miał miejsce wysoki wzrost cen energii oraz żywności na rynku krajowym, który w znacznym stopniu wpłynął na wzrost ogólnego wskaźnika cen towarów i usług konsumpcyjnych. Dodatkowo rosła także inflacja bazowa. </w:t>
      </w:r>
    </w:p>
    <w:p w:rsidR="00C54205" w:rsidRDefault="00C54205" w:rsidP="00C54205">
      <w:pPr>
        <w:spacing w:after="0" w:line="240" w:lineRule="auto"/>
        <w:ind w:left="-426"/>
        <w:jc w:val="both"/>
        <w:rPr>
          <w:rFonts w:ascii="Times New Roman" w:eastAsia="Times New Roman" w:hAnsi="Times New Roman" w:cs="Times New Roman"/>
          <w:sz w:val="24"/>
          <w:szCs w:val="24"/>
          <w:lang w:eastAsia="pl-PL"/>
        </w:rPr>
      </w:pPr>
      <w:r w:rsidRPr="00C54205">
        <w:rPr>
          <w:rFonts w:ascii="Times New Roman" w:eastAsia="Times New Roman" w:hAnsi="Times New Roman" w:cs="Times New Roman"/>
          <w:sz w:val="24"/>
          <w:szCs w:val="24"/>
          <w:lang w:eastAsia="pl-PL"/>
        </w:rPr>
        <w:t>Wzrost tej kategorii był z jednej strony opóźnionym skutkiem odbudowy aktywności gospodarczej po recesji wywołanej pandemią oraz efektem dobrej sytuacji na rynku pracy, a z drugiej strony konsekwencją wzrostu presji kosztowej u producentów (zwłaszcza w zakresie cen energii i paliw). W efekcie inflacja w 2022 roku wyniosła średnio 14,4% według metodologii krajowej (CPI) oraz 13,2% według metodologii unijnej (HICP).</w:t>
      </w:r>
    </w:p>
    <w:p w:rsidR="00C54205" w:rsidRDefault="00C54205" w:rsidP="00C54205">
      <w:pPr>
        <w:spacing w:after="0" w:line="240" w:lineRule="auto"/>
        <w:ind w:left="-426"/>
        <w:jc w:val="both"/>
        <w:rPr>
          <w:rFonts w:ascii="Times New Roman" w:eastAsia="Times New Roman" w:hAnsi="Times New Roman" w:cs="Times New Roman"/>
          <w:sz w:val="24"/>
          <w:szCs w:val="24"/>
          <w:lang w:eastAsia="pl-PL"/>
        </w:rPr>
      </w:pPr>
      <w:r w:rsidRPr="00C54205">
        <w:rPr>
          <w:rFonts w:ascii="Times New Roman" w:eastAsia="Times New Roman" w:hAnsi="Times New Roman" w:cs="Times New Roman"/>
          <w:sz w:val="24"/>
          <w:szCs w:val="24"/>
          <w:lang w:eastAsia="pl-PL"/>
        </w:rPr>
        <w:br/>
        <w:t xml:space="preserve">Wobec silnej presji inflacyjnej, przez większą część 2022 roku Rada Polityki Pieniężnej kontynuowała zacieśnianie polityki pieniężnej zapoczątkowane w październiku 2021 roku. Stopy procentowe NBP </w:t>
      </w:r>
      <w:r w:rsidRPr="00C54205">
        <w:rPr>
          <w:rFonts w:ascii="Times New Roman" w:eastAsia="Times New Roman" w:hAnsi="Times New Roman" w:cs="Times New Roman"/>
          <w:sz w:val="24"/>
          <w:szCs w:val="24"/>
          <w:lang w:eastAsia="pl-PL"/>
        </w:rPr>
        <w:lastRenderedPageBreak/>
        <w:t xml:space="preserve">zostały podwyższone ośmiokrotnie, łącznie o 5 punktów procentowych, w tym stopa referencyjna do 6,75%. Od października 2022 roku Rada utrzymuje stopy procentowe na niezmienionym poziomie. </w:t>
      </w:r>
    </w:p>
    <w:p w:rsidR="00FC71CD" w:rsidRPr="00C54205" w:rsidRDefault="00FC71CD" w:rsidP="00C54205">
      <w:pPr>
        <w:spacing w:after="0" w:line="240" w:lineRule="auto"/>
        <w:ind w:left="-426"/>
        <w:jc w:val="both"/>
        <w:rPr>
          <w:rFonts w:ascii="Times New Roman" w:eastAsia="Times New Roman" w:hAnsi="Times New Roman" w:cs="Times New Roman"/>
          <w:sz w:val="24"/>
          <w:szCs w:val="24"/>
          <w:lang w:eastAsia="pl-PL"/>
        </w:rPr>
      </w:pPr>
    </w:p>
    <w:p w:rsidR="00FC71CD" w:rsidRDefault="00FC71CD" w:rsidP="00FC71CD">
      <w:pPr>
        <w:spacing w:after="0" w:line="240" w:lineRule="auto"/>
        <w:jc w:val="both"/>
        <w:rPr>
          <w:rFonts w:ascii="Times New Roman" w:eastAsia="Times New Roman" w:hAnsi="Times New Roman" w:cs="Times New Roman"/>
          <w:b/>
          <w:sz w:val="24"/>
          <w:szCs w:val="24"/>
          <w:lang w:eastAsia="pl-PL"/>
        </w:rPr>
      </w:pPr>
      <w:r w:rsidRPr="00FC71CD">
        <w:rPr>
          <w:rFonts w:ascii="Times New Roman" w:eastAsia="Times New Roman" w:hAnsi="Times New Roman" w:cs="Times New Roman"/>
          <w:b/>
          <w:sz w:val="24"/>
          <w:szCs w:val="24"/>
          <w:lang w:eastAsia="pl-PL"/>
        </w:rPr>
        <w:t>Scenariusz</w:t>
      </w:r>
      <w:r>
        <w:rPr>
          <w:rFonts w:ascii="Times New Roman" w:eastAsia="Times New Roman" w:hAnsi="Times New Roman" w:cs="Times New Roman"/>
          <w:b/>
          <w:sz w:val="24"/>
          <w:szCs w:val="24"/>
          <w:lang w:eastAsia="pl-PL"/>
        </w:rPr>
        <w:t xml:space="preserve"> </w:t>
      </w:r>
      <w:r w:rsidRPr="00FC71CD">
        <w:rPr>
          <w:rFonts w:ascii="Times New Roman" w:eastAsia="Times New Roman" w:hAnsi="Times New Roman" w:cs="Times New Roman"/>
          <w:b/>
          <w:sz w:val="24"/>
          <w:szCs w:val="24"/>
          <w:lang w:eastAsia="pl-PL"/>
        </w:rPr>
        <w:t>średniookresowy</w:t>
      </w:r>
    </w:p>
    <w:p w:rsidR="00FC71CD" w:rsidRPr="00FC71CD" w:rsidRDefault="00FC71CD" w:rsidP="00FC71CD">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br/>
        <w:t xml:space="preserve">Prezentowany scenariusz zakłada, że w bieżącym roku tempo wzrostu gospodarczego w Polsce znacząco wyhamuje - realny PKB wzrośnie o 0,9%. W kolejnych latach nastąpi stopniowe ożywienie gospodarki - w 2024 roku tempo wzrostu realnego PKB wyniesie 2,8%, a w latach 2025-2026 odpowiednio 3,2% oraz 3,0%. </w:t>
      </w:r>
    </w:p>
    <w:p w:rsidR="00FC71CD" w:rsidRPr="00FC71CD" w:rsidRDefault="00FC71CD" w:rsidP="00FC71CD">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 xml:space="preserve">Główną przyczyną spowolnienia tempa wzrostu w 2023 roku będzie znaczne osłabienie dynamiki spożycia prywatnego, zwłaszcza w pierwszej połowie br., wywołane wysoką inflacją i związanymi z nią konsekwencjami: czasowym spadkiem płac realnych, zaostrzeniem polityki pieniężnej i dużym pesymizmem wśród konsumentów. </w:t>
      </w:r>
    </w:p>
    <w:p w:rsidR="00F358E5" w:rsidRDefault="00FC71CD" w:rsidP="00FC71CD">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Ożywienie gospodarki będzie wspierane przez znaczny wzrost inwestycji publicznych, wynikający m.in. z rozpoczęcia realizacji projektów zaplanowanych w Krajowym Planie Odbudowy i Zwiększania Odporności (KPO) oraz ze zwiększonych dostaw sprzętu militarnego.</w:t>
      </w:r>
    </w:p>
    <w:p w:rsidR="00FC71CD" w:rsidRDefault="00FC71CD" w:rsidP="00FC71CD">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Spożycie prywatne w 2023 roku wzrośnie realnie o 0,7%. Wyraźny spadek dynamiki spożycia prywatnego w porównaniu do lat poprzednich jest związany z pogorszeniem się ogólnej sytuacji gospodarczej oraz sytuacji na rynku pracy (w bieżącym roku przewidywany jest nieznaczny wzrost bezrobocia).</w:t>
      </w:r>
      <w:r w:rsidRPr="004F5F4C">
        <w:rPr>
          <w:rFonts w:ascii="Times New Roman" w:eastAsia="Times New Roman" w:hAnsi="Times New Roman" w:cs="Times New Roman"/>
          <w:sz w:val="24"/>
          <w:szCs w:val="24"/>
          <w:lang w:eastAsia="pl-PL"/>
        </w:rPr>
        <w:t xml:space="preserve"> Również utrzymywanie się restrykcyjnej polityki monetarnej będzie wpływało na ograniczenie konsumpcji gospodarstw domowych. Z kolei czynnikiem ograniczającym spadek dynamiki spożycia prywatnego jest utrzymanie obniżonej stawki podatku VAT na podstawowe artykuły żywnościowe oraz programy wpływające na zwiększenie dochodu rozporządzalnego gospodarstw domowych, m.in. wsparcie, które otrzymują gospodarstwa domowe w związku ze znaczącym wzrostem cen energii i gazu (mrożenie cen, dodatki osłonowe), obniżenie podatku dochodowego od osób fizycznych (program Niskie Podatki) oraz tzw. wakacje kredytowe. </w:t>
      </w:r>
    </w:p>
    <w:p w:rsidR="00F358E5" w:rsidRDefault="00FC71CD" w:rsidP="00F358E5">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W kolejnych latach dynamika spożycia prywatnego będzie stopniowo rosnąć - w 2024 roku osiągnie 2,5% a w latach 2025-2026 wyniesie 2,7%. Wpływ na to będą miały przede wszystkim spadek inflacji oraz wzrost realnych wynagrodzeń.</w:t>
      </w:r>
    </w:p>
    <w:p w:rsidR="00FC71CD" w:rsidRDefault="00FC71CD" w:rsidP="00F358E5">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Prezentowany scenariusz zakłada, że realizacja KPO będzie oddziaływać bezpośrednio na wzrost PKB poprzez wzrost inwestycji (prywatnych i publicznych) oraz, w mniejszym stopniu, spożycia publicznego. Analiza projektów zaplanowanych w ramach KPO wskazuje, że sektor publiczny będzie beneficjentem około 2/3 środków z grantów oraz połowy środków z części pożyczkowej</w:t>
      </w:r>
      <w:r w:rsidR="00F358E5">
        <w:rPr>
          <w:rFonts w:ascii="Times New Roman" w:eastAsia="Times New Roman" w:hAnsi="Times New Roman" w:cs="Times New Roman"/>
          <w:sz w:val="24"/>
          <w:szCs w:val="24"/>
          <w:lang w:eastAsia="pl-PL"/>
        </w:rPr>
        <w:t>.</w:t>
      </w:r>
      <w:r w:rsidRPr="00FC71CD">
        <w:rPr>
          <w:rFonts w:ascii="Times New Roman" w:eastAsia="Times New Roman" w:hAnsi="Times New Roman" w:cs="Times New Roman"/>
          <w:sz w:val="24"/>
          <w:szCs w:val="24"/>
          <w:lang w:eastAsia="pl-PL"/>
        </w:rPr>
        <w:br/>
        <w:t>Prognozowane tempo wzrostu produktu potencjalnego wynosi 3,2% w 2023 roku, około 3,0% w latach 2024-2025 oraz 2,7% w 2026 roku. Głównymi czynnikami wpływającymi na dynamikę</w:t>
      </w:r>
      <w:r w:rsidRPr="004F5F4C">
        <w:rPr>
          <w:rFonts w:ascii="Times New Roman" w:eastAsia="Times New Roman" w:hAnsi="Times New Roman" w:cs="Times New Roman"/>
          <w:sz w:val="24"/>
          <w:szCs w:val="24"/>
          <w:lang w:eastAsia="pl-PL"/>
        </w:rPr>
        <w:t xml:space="preserve"> potencjału gospodarki będzie malejąca podaż pracy, akumulacja kapitału produkcyjnego oraz wzrost wydajności czynników produkcji. </w:t>
      </w:r>
    </w:p>
    <w:p w:rsidR="00F358E5" w:rsidRDefault="00FC71CD" w:rsidP="00F358E5">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Pomimo prognozowanego wzrostu aktywności zawodowej w następnych latach, negatywne tendencje dotyczące liczebności populacji w wieku produkcyjnym będą wpływać na mniejszą dynamikę potencjalnego PKB.</w:t>
      </w:r>
    </w:p>
    <w:p w:rsidR="00FC71CD" w:rsidRPr="00FC71CD" w:rsidRDefault="00FC71CD" w:rsidP="00F358E5">
      <w:pPr>
        <w:spacing w:after="0" w:line="240" w:lineRule="auto"/>
        <w:ind w:left="-425"/>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Scenariusz zakłada, że w kolejnych miesiącach inflacja będzie się stopniowo obniżać do poziomu jednocyfrowego na koniec 2023 roku. Średniorocznie wskaźnik inflacji wyniesie w bieżącym roku 12,0%. W kolejnych latach inflacja nadal będzie spadać, lecz dynamika tego spadku będzie coraz wolniejsza. Zgodnie z prognozą, średnioroczna inflacja wyniesie 6,5% w 2024 roku, 3,9% w 2025 roku oraz 3,1% w 2026 roku. Głównymi czynnikami, które będą wpływały na obniżanie się inflacji będą stabilizacja cen surowców energetycznych i żywności na rynkach światowych, relatywnie niska dynamika spożycia prywatnego (zwłaszcza w br.) oraz restrykcyjna polityka pieniężna.</w:t>
      </w:r>
      <w:r w:rsidRPr="00FC71CD">
        <w:rPr>
          <w:rFonts w:ascii="Times New Roman" w:eastAsia="Times New Roman" w:hAnsi="Times New Roman" w:cs="Times New Roman"/>
          <w:sz w:val="24"/>
          <w:szCs w:val="24"/>
          <w:lang w:eastAsia="pl-PL"/>
        </w:rPr>
        <w:br/>
        <w:t xml:space="preserve">Scenariusz opracowano przy założeniu braku nowych szoków podażowych na rynku żywnościowym i energetycznym. </w:t>
      </w:r>
    </w:p>
    <w:p w:rsidR="00F358E5" w:rsidRDefault="00FC71CD" w:rsidP="00FC71CD">
      <w:pPr>
        <w:ind w:left="-426"/>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sz w:val="24"/>
          <w:szCs w:val="24"/>
          <w:lang w:eastAsia="pl-PL"/>
        </w:rPr>
        <w:t xml:space="preserve">W przypadku cen importowanych surowców energetycznych założenia zostały przygotowane na podstawie kontraktów </w:t>
      </w:r>
      <w:proofErr w:type="spellStart"/>
      <w:r w:rsidRPr="00FC71CD">
        <w:rPr>
          <w:rFonts w:ascii="Times New Roman" w:eastAsia="Times New Roman" w:hAnsi="Times New Roman" w:cs="Times New Roman"/>
          <w:sz w:val="24"/>
          <w:szCs w:val="24"/>
          <w:lang w:eastAsia="pl-PL"/>
        </w:rPr>
        <w:t>futures</w:t>
      </w:r>
      <w:proofErr w:type="spellEnd"/>
      <w:r w:rsidRPr="00FC71CD">
        <w:rPr>
          <w:rFonts w:ascii="Times New Roman" w:eastAsia="Times New Roman" w:hAnsi="Times New Roman" w:cs="Times New Roman"/>
          <w:sz w:val="24"/>
          <w:szCs w:val="24"/>
          <w:lang w:eastAsia="pl-PL"/>
        </w:rPr>
        <w:t xml:space="preserve"> dostępnych w momencie przygotowania prognozy (w dniach 6-10 marca). W przypadku ropy naftowej założono spadek ceny za baryłkę ropy </w:t>
      </w:r>
      <w:proofErr w:type="spellStart"/>
      <w:r w:rsidRPr="00FC71CD">
        <w:rPr>
          <w:rFonts w:ascii="Times New Roman" w:eastAsia="Times New Roman" w:hAnsi="Times New Roman" w:cs="Times New Roman"/>
          <w:sz w:val="24"/>
          <w:szCs w:val="24"/>
          <w:lang w:eastAsia="pl-PL"/>
        </w:rPr>
        <w:t>Brent</w:t>
      </w:r>
      <w:proofErr w:type="spellEnd"/>
      <w:r w:rsidRPr="00FC71CD">
        <w:rPr>
          <w:rFonts w:ascii="Times New Roman" w:eastAsia="Times New Roman" w:hAnsi="Times New Roman" w:cs="Times New Roman"/>
          <w:sz w:val="24"/>
          <w:szCs w:val="24"/>
          <w:lang w:eastAsia="pl-PL"/>
        </w:rPr>
        <w:t xml:space="preserve"> o 18% w 2023 roku oraz </w:t>
      </w:r>
      <w:r w:rsidRPr="00FC71CD">
        <w:rPr>
          <w:rFonts w:ascii="Times New Roman" w:eastAsia="Times New Roman" w:hAnsi="Times New Roman" w:cs="Times New Roman"/>
          <w:sz w:val="24"/>
          <w:szCs w:val="24"/>
          <w:lang w:eastAsia="pl-PL"/>
        </w:rPr>
        <w:lastRenderedPageBreak/>
        <w:t>drobne spadki cen w kolejnych latach</w:t>
      </w:r>
      <w:r w:rsidR="00F358E5">
        <w:rPr>
          <w:rFonts w:ascii="Times New Roman" w:eastAsia="Times New Roman" w:hAnsi="Times New Roman" w:cs="Times New Roman"/>
          <w:sz w:val="24"/>
          <w:szCs w:val="24"/>
          <w:lang w:eastAsia="pl-PL"/>
        </w:rPr>
        <w:t xml:space="preserve">. </w:t>
      </w:r>
      <w:r w:rsidRPr="00FC71CD">
        <w:rPr>
          <w:rFonts w:ascii="Times New Roman" w:eastAsia="Times New Roman" w:hAnsi="Times New Roman" w:cs="Times New Roman"/>
          <w:sz w:val="24"/>
          <w:szCs w:val="24"/>
          <w:lang w:eastAsia="pl-PL"/>
        </w:rPr>
        <w:t xml:space="preserve">W przypadku gazu ziemnego kontrakty terminowe (Dutch TTF Gas) wskazują na spadek cen gazu ziemnego średnio o 37% w 2023 roku oraz 41% w 2024 roku oraz dalsze, mniejsze spadki w kolejnych latach. Bazując na cenach z kontraktów terminowych, średnia cena gazu w 2025 roku będzie zbliżona do tej w roku 2021. Zmienność cen na tym rynku jest jednak znacząca. W przypadku kursu walutowego przyjęto </w:t>
      </w:r>
      <w:proofErr w:type="spellStart"/>
      <w:r w:rsidRPr="00FC71CD">
        <w:rPr>
          <w:rFonts w:ascii="Times New Roman" w:eastAsia="Times New Roman" w:hAnsi="Times New Roman" w:cs="Times New Roman"/>
          <w:sz w:val="24"/>
          <w:szCs w:val="24"/>
          <w:lang w:eastAsia="pl-PL"/>
        </w:rPr>
        <w:t>techniczne</w:t>
      </w:r>
      <w:proofErr w:type="spellEnd"/>
      <w:r w:rsidRPr="00FC71CD">
        <w:rPr>
          <w:rFonts w:ascii="Times New Roman" w:eastAsia="Times New Roman" w:hAnsi="Times New Roman" w:cs="Times New Roman"/>
          <w:sz w:val="24"/>
          <w:szCs w:val="24"/>
          <w:lang w:eastAsia="pl-PL"/>
        </w:rPr>
        <w:t xml:space="preserve"> założenie o stabilizacji kursu złotego na poziomie odpowiednio 4,70 EUR/PLN oraz 4,43 USD/PLN (średnie wartości z 10 dni roboczych od 27 lutego do 10 marca włącznie).</w:t>
      </w:r>
    </w:p>
    <w:p w:rsidR="00F358E5" w:rsidRDefault="00FC71CD" w:rsidP="00F358E5">
      <w:pPr>
        <w:ind w:left="-426"/>
        <w:jc w:val="both"/>
        <w:rPr>
          <w:rFonts w:ascii="Times New Roman" w:eastAsia="Times New Roman" w:hAnsi="Times New Roman" w:cs="Times New Roman"/>
          <w:b/>
          <w:sz w:val="24"/>
          <w:szCs w:val="24"/>
          <w:lang w:eastAsia="pl-PL"/>
        </w:rPr>
      </w:pPr>
      <w:r w:rsidRPr="00F358E5">
        <w:rPr>
          <w:rFonts w:ascii="Times New Roman" w:eastAsia="Times New Roman" w:hAnsi="Times New Roman" w:cs="Times New Roman"/>
          <w:b/>
          <w:sz w:val="24"/>
          <w:szCs w:val="24"/>
          <w:lang w:eastAsia="pl-PL"/>
        </w:rPr>
        <w:t>Wzrost gospodarczy - kluczowe elementy prognozy</w:t>
      </w:r>
    </w:p>
    <w:p w:rsidR="005C3E30" w:rsidRDefault="00FC71CD" w:rsidP="00F358E5">
      <w:pPr>
        <w:ind w:left="-426"/>
        <w:jc w:val="both"/>
        <w:rPr>
          <w:rFonts w:ascii="Times New Roman" w:eastAsia="Times New Roman" w:hAnsi="Times New Roman" w:cs="Times New Roman"/>
          <w:sz w:val="24"/>
          <w:szCs w:val="24"/>
          <w:lang w:eastAsia="pl-PL"/>
        </w:rPr>
      </w:pPr>
      <w:r w:rsidRPr="00FC71CD">
        <w:rPr>
          <w:rFonts w:ascii="Times New Roman" w:eastAsia="Times New Roman" w:hAnsi="Times New Roman" w:cs="Times New Roman"/>
          <w:color w:val="FF0000"/>
          <w:sz w:val="24"/>
          <w:szCs w:val="24"/>
          <w:lang w:eastAsia="pl-PL"/>
        </w:rPr>
        <w:br/>
        <w:t xml:space="preserve">                                                                                                 </w:t>
      </w:r>
      <w:r w:rsidR="005C3E30">
        <w:rPr>
          <w:rFonts w:ascii="Times New Roman" w:eastAsia="Times New Roman" w:hAnsi="Times New Roman" w:cs="Times New Roman"/>
          <w:b/>
          <w:sz w:val="24"/>
          <w:szCs w:val="24"/>
          <w:lang w:eastAsia="pl-PL"/>
        </w:rPr>
        <w:t xml:space="preserve">2022 2023 2024 2025 </w:t>
      </w:r>
      <w:r w:rsidRPr="005C3E30">
        <w:rPr>
          <w:rFonts w:ascii="Times New Roman" w:eastAsia="Times New Roman" w:hAnsi="Times New Roman" w:cs="Times New Roman"/>
          <w:b/>
          <w:sz w:val="24"/>
          <w:szCs w:val="24"/>
          <w:lang w:eastAsia="pl-PL"/>
        </w:rPr>
        <w:t>2026</w:t>
      </w:r>
      <w:r w:rsidRPr="00FC71CD">
        <w:rPr>
          <w:rFonts w:ascii="Times New Roman" w:eastAsia="Times New Roman" w:hAnsi="Times New Roman" w:cs="Times New Roman"/>
          <w:color w:val="FF0000"/>
          <w:sz w:val="24"/>
          <w:szCs w:val="24"/>
          <w:lang w:eastAsia="pl-PL"/>
        </w:rPr>
        <w:br/>
        <w:t>PKB w ujęciu realnym, wzrost w % 5,1 0,9 2,8 3,2 3,0</w:t>
      </w:r>
      <w:r w:rsidRPr="00FC71CD">
        <w:rPr>
          <w:rFonts w:ascii="Times New Roman" w:eastAsia="Times New Roman" w:hAnsi="Times New Roman" w:cs="Times New Roman"/>
          <w:color w:val="FF0000"/>
          <w:sz w:val="24"/>
          <w:szCs w:val="24"/>
          <w:lang w:eastAsia="pl-PL"/>
        </w:rPr>
        <w:br/>
      </w:r>
      <w:r w:rsidRPr="00FC71CD">
        <w:rPr>
          <w:rFonts w:ascii="Times New Roman" w:eastAsia="Times New Roman" w:hAnsi="Times New Roman" w:cs="Times New Roman"/>
          <w:sz w:val="24"/>
          <w:szCs w:val="24"/>
          <w:lang w:eastAsia="pl-PL"/>
        </w:rPr>
        <w:t xml:space="preserve">Stopa bezrobocia, w       % 2,9 3,2 3,1 3,0 </w:t>
      </w:r>
      <w:proofErr w:type="spellStart"/>
      <w:r w:rsidRPr="00FC71CD">
        <w:rPr>
          <w:rFonts w:ascii="Times New Roman" w:eastAsia="Times New Roman" w:hAnsi="Times New Roman" w:cs="Times New Roman"/>
          <w:sz w:val="24"/>
          <w:szCs w:val="24"/>
          <w:lang w:eastAsia="pl-PL"/>
        </w:rPr>
        <w:t>3,0</w:t>
      </w:r>
      <w:proofErr w:type="spellEnd"/>
      <w:r w:rsidRPr="00FC71CD">
        <w:rPr>
          <w:rFonts w:ascii="Times New Roman" w:eastAsia="Times New Roman" w:hAnsi="Times New Roman" w:cs="Times New Roman"/>
          <w:sz w:val="24"/>
          <w:szCs w:val="24"/>
          <w:lang w:eastAsia="pl-PL"/>
        </w:rPr>
        <w:br/>
      </w:r>
      <w:r w:rsidRPr="00FC71CD">
        <w:rPr>
          <w:rFonts w:ascii="Times New Roman" w:eastAsia="Times New Roman" w:hAnsi="Times New Roman" w:cs="Times New Roman"/>
          <w:color w:val="FF0000"/>
          <w:sz w:val="24"/>
          <w:szCs w:val="24"/>
          <w:lang w:eastAsia="pl-PL"/>
        </w:rPr>
        <w:t>Średnioroczny wzrost cen towarów i usług 14,4 12,0 6,5 3,9 3,1</w:t>
      </w:r>
      <w:r w:rsidRPr="00FC71CD">
        <w:rPr>
          <w:rFonts w:ascii="Times New Roman" w:eastAsia="Times New Roman" w:hAnsi="Times New Roman" w:cs="Times New Roman"/>
          <w:sz w:val="24"/>
          <w:szCs w:val="24"/>
          <w:lang w:eastAsia="pl-PL"/>
        </w:rPr>
        <w:br/>
      </w:r>
      <w:r w:rsidRPr="00FC71CD">
        <w:rPr>
          <w:rFonts w:ascii="Times New Roman" w:eastAsia="Times New Roman" w:hAnsi="Times New Roman" w:cs="Times New Roman"/>
          <w:sz w:val="24"/>
          <w:szCs w:val="24"/>
          <w:lang w:eastAsia="pl-PL"/>
        </w:rPr>
        <w:br/>
        <w:t>Polska pozostaje krajem o bardzo niskiej stopie bezrobocia. W kolejnych latach bezrobocie utrzyma się na niskim poziomie w wyniku trendów demograficznych, utrzymywania się tempa wzrostu gospodarczego w okolicach potencjału oraz zwiększania inwestycji publicznych. Zmiany liczby pracujących ogółem uwzględniają przyjęte w Programie założenie o braku zmian liczby pracujących w sektorze instytucji rządowych i samorządowych do 2026 roku.</w:t>
      </w:r>
    </w:p>
    <w:p w:rsidR="00FC71CD" w:rsidRDefault="00FC71CD" w:rsidP="00A41BCB">
      <w:pPr>
        <w:pStyle w:val="Akapitzlist"/>
        <w:numPr>
          <w:ilvl w:val="0"/>
          <w:numId w:val="19"/>
        </w:numPr>
        <w:jc w:val="both"/>
      </w:pPr>
      <w:r w:rsidRPr="00A41BCB">
        <w:t xml:space="preserve">W 2023 roku przewiduje się wzrost przeciętnego wynagrodzenia </w:t>
      </w:r>
      <w:r w:rsidRPr="00A41BCB">
        <w:rPr>
          <w:b/>
        </w:rPr>
        <w:t>w gospodarce narodowej</w:t>
      </w:r>
      <w:r w:rsidRPr="00A41BCB">
        <w:rPr>
          <w:color w:val="FF0000"/>
        </w:rPr>
        <w:t xml:space="preserve"> </w:t>
      </w:r>
      <w:r w:rsidRPr="00A41BCB">
        <w:t xml:space="preserve">w wysokości 11,9%, a więc o 0,1 pkt. proc. poniżej prognozowanego poziomu inflacji. </w:t>
      </w:r>
    </w:p>
    <w:p w:rsidR="00FC71CD" w:rsidRDefault="00FC71CD" w:rsidP="00A41BCB">
      <w:pPr>
        <w:pStyle w:val="Akapitzlist"/>
        <w:numPr>
          <w:ilvl w:val="0"/>
          <w:numId w:val="19"/>
        </w:numPr>
        <w:jc w:val="both"/>
      </w:pPr>
      <w:r w:rsidRPr="00A41BCB">
        <w:t xml:space="preserve">W latach 2024-2026 sytuacja ulegnie normalizacji i realne wynagrodzenia będą rosnąć w tempie zbliżonym do dynamiki wydajności pracy. </w:t>
      </w:r>
    </w:p>
    <w:p w:rsidR="00FC71CD" w:rsidRDefault="00FC71CD" w:rsidP="00A41BCB">
      <w:pPr>
        <w:pStyle w:val="Akapitzlist"/>
        <w:numPr>
          <w:ilvl w:val="0"/>
          <w:numId w:val="19"/>
        </w:numPr>
        <w:jc w:val="both"/>
      </w:pPr>
      <w:r w:rsidRPr="00A41BCB">
        <w:t xml:space="preserve">Realny wzrost wynagrodzeń osiągnie maksimum w 2024 roku na poziomie 2,9%, a w kolejnych latach wyniesie 2,6-2,7%. </w:t>
      </w:r>
    </w:p>
    <w:p w:rsidR="00FC71CD" w:rsidRDefault="00FC71CD" w:rsidP="00A41BCB">
      <w:pPr>
        <w:pStyle w:val="Akapitzlist"/>
        <w:numPr>
          <w:ilvl w:val="0"/>
          <w:numId w:val="19"/>
        </w:numPr>
        <w:jc w:val="both"/>
      </w:pPr>
      <w:r w:rsidRPr="00A41BCB">
        <w:t xml:space="preserve">W ujęciu nominalnym przeciętne wynagrodzenie w gospodarce narodowej wzrośnie w 2024 roku o 9,6%, w 2025 roku o 6,6%, a w 2026 roku o 5,9%. </w:t>
      </w:r>
    </w:p>
    <w:p w:rsidR="00A41BCB" w:rsidRPr="00A41BCB" w:rsidRDefault="00A41BCB" w:rsidP="00A41BCB">
      <w:pPr>
        <w:pStyle w:val="Akapitzlist"/>
        <w:ind w:left="294"/>
        <w:jc w:val="both"/>
      </w:pPr>
    </w:p>
    <w:p w:rsidR="005C3E30" w:rsidRPr="005C3E30" w:rsidRDefault="00FC71CD" w:rsidP="00FC71CD">
      <w:pPr>
        <w:ind w:left="-426"/>
        <w:jc w:val="both"/>
        <w:rPr>
          <w:rFonts w:ascii="Times New Roman" w:eastAsia="Times New Roman" w:hAnsi="Times New Roman" w:cs="Times New Roman"/>
          <w:sz w:val="24"/>
          <w:szCs w:val="24"/>
          <w:lang w:eastAsia="pl-PL"/>
        </w:rPr>
      </w:pPr>
      <w:r w:rsidRPr="005C3E30">
        <w:rPr>
          <w:rFonts w:ascii="Times New Roman" w:eastAsia="Times New Roman" w:hAnsi="Times New Roman" w:cs="Times New Roman"/>
          <w:sz w:val="24"/>
          <w:szCs w:val="24"/>
          <w:lang w:eastAsia="pl-PL"/>
        </w:rPr>
        <w:t>Wprowadzone przez rząd działania osłonowe mające na celu łagodzenie skutków wzrostu cen energii, wspierające gospodarstwa domowe, podmioty wrażliwe i przedsiębiorstwa w ramach Tarczy antyinflacyjnej, energetycznej i solidarnościowej były główną przyczyną powiększenia deficytu w 2022 roku w porównaniu do roku 2021. Działania te będą w większości kontynuowane w 2023 roku. Najwięcej wydatków zostanie przeznaczone na wypłaty rekompensat dla sprzedawców gazu, węgla, ciepła i energii elektrycznej za sprzedaż po cenach regulowanych dla gospodarstw domowych, jednostek użyteczności publicznej.</w:t>
      </w:r>
    </w:p>
    <w:p w:rsidR="005C3E30" w:rsidRDefault="00FC71CD" w:rsidP="005C3E30">
      <w:pPr>
        <w:ind w:left="-426"/>
        <w:jc w:val="both"/>
        <w:rPr>
          <w:rFonts w:ascii="Times New Roman" w:eastAsia="Times New Roman" w:hAnsi="Times New Roman" w:cs="Times New Roman"/>
          <w:sz w:val="24"/>
          <w:szCs w:val="24"/>
          <w:lang w:eastAsia="pl-PL"/>
        </w:rPr>
      </w:pPr>
      <w:r w:rsidRPr="005C3E30">
        <w:rPr>
          <w:rFonts w:ascii="Times New Roman" w:eastAsia="Times New Roman" w:hAnsi="Times New Roman" w:cs="Times New Roman"/>
          <w:sz w:val="24"/>
          <w:szCs w:val="24"/>
          <w:lang w:eastAsia="pl-PL"/>
        </w:rPr>
        <w:t>Ponadto ze środków Funduszu przekazywane były środki na sfinansowanie świadczeń opieki zdrowotnej (do NFZ) oraz środki wspierające jednostki samorządu terytorialnego w zakresie wychowania przedszkolnego, szkół i placówek oraz dowożenia uczniów. Zgodnie ze wstępnymi danymi samorządy otrzymały i wydatkowały łącznie z Funduszu Pomocy i innych źródeł około 7 mld zł (0,2% PKB). Pomoc dla obywateli Ukrainy realizowana była w wielu obszarach, a połowę z tych środków wydatkowano w ramach świadczeń na rzecz osób fizycznych.</w:t>
      </w:r>
    </w:p>
    <w:p w:rsidR="005C3E30" w:rsidRDefault="00FC71CD" w:rsidP="005C3E30">
      <w:pPr>
        <w:spacing w:after="0" w:line="240" w:lineRule="auto"/>
        <w:ind w:left="-425"/>
        <w:jc w:val="both"/>
        <w:rPr>
          <w:rFonts w:ascii="Times New Roman" w:eastAsia="Times New Roman" w:hAnsi="Times New Roman" w:cs="Times New Roman"/>
          <w:sz w:val="24"/>
          <w:szCs w:val="24"/>
          <w:lang w:eastAsia="pl-PL"/>
        </w:rPr>
      </w:pPr>
      <w:r w:rsidRPr="005C3E30">
        <w:rPr>
          <w:rFonts w:ascii="Times New Roman" w:eastAsia="Times New Roman" w:hAnsi="Times New Roman" w:cs="Times New Roman"/>
          <w:sz w:val="24"/>
          <w:szCs w:val="24"/>
          <w:lang w:eastAsia="pl-PL"/>
        </w:rPr>
        <w:t xml:space="preserve">Biorąc pod uwagę przekraczający 3% PKB deficyt nominalny prognozowany na rok 2023, tegoroczny </w:t>
      </w:r>
      <w:r w:rsidR="005C3E30">
        <w:rPr>
          <w:rFonts w:ascii="Times New Roman" w:eastAsia="Times New Roman" w:hAnsi="Times New Roman" w:cs="Times New Roman"/>
          <w:sz w:val="24"/>
          <w:szCs w:val="24"/>
          <w:lang w:eastAsia="pl-PL"/>
        </w:rPr>
        <w:t>p</w:t>
      </w:r>
      <w:r w:rsidRPr="005C3E30">
        <w:rPr>
          <w:rFonts w:ascii="Times New Roman" w:eastAsia="Times New Roman" w:hAnsi="Times New Roman" w:cs="Times New Roman"/>
          <w:sz w:val="24"/>
          <w:szCs w:val="24"/>
          <w:lang w:eastAsia="pl-PL"/>
        </w:rPr>
        <w:t>rogram został opracowany przy założeniu redukcji deficytu od 2024 roku, zgodnie z unijnymi regułami budżetowymi, które będą ponownie obowiązywać w UE po wygaśnięciu tzw. ogólnej</w:t>
      </w:r>
      <w:r w:rsidR="003E13E3">
        <w:rPr>
          <w:rFonts w:ascii="Times New Roman" w:eastAsia="Times New Roman" w:hAnsi="Times New Roman" w:cs="Times New Roman"/>
          <w:sz w:val="24"/>
          <w:szCs w:val="24"/>
          <w:lang w:eastAsia="pl-PL"/>
        </w:rPr>
        <w:t xml:space="preserve"> klauzuli wyjścia</w:t>
      </w:r>
      <w:r w:rsidRPr="005C3E30">
        <w:rPr>
          <w:rFonts w:ascii="Times New Roman" w:eastAsia="Times New Roman" w:hAnsi="Times New Roman" w:cs="Times New Roman"/>
          <w:sz w:val="24"/>
          <w:szCs w:val="24"/>
          <w:lang w:eastAsia="pl-PL"/>
        </w:rPr>
        <w:t xml:space="preserve">. </w:t>
      </w:r>
      <w:r w:rsidRPr="005C3E30">
        <w:rPr>
          <w:rFonts w:ascii="Times New Roman" w:eastAsia="Times New Roman" w:hAnsi="Times New Roman" w:cs="Times New Roman"/>
          <w:sz w:val="24"/>
          <w:szCs w:val="24"/>
          <w:lang w:eastAsia="pl-PL"/>
        </w:rPr>
        <w:lastRenderedPageBreak/>
        <w:t>W Programie założono w związku z tym poprawę wyniku strukturalnego średnio o 0,5 pkt. proc. PKB rocznie w okresie 2024-2026.</w:t>
      </w:r>
    </w:p>
    <w:p w:rsidR="00A55173" w:rsidRPr="005C3E30" w:rsidRDefault="00FC71CD" w:rsidP="005C3E30">
      <w:pPr>
        <w:spacing w:after="0" w:line="240" w:lineRule="auto"/>
        <w:ind w:left="-425"/>
        <w:jc w:val="both"/>
        <w:rPr>
          <w:rFonts w:ascii="Times New Roman" w:eastAsia="Times New Roman" w:hAnsi="Times New Roman" w:cs="Times New Roman"/>
          <w:sz w:val="24"/>
          <w:szCs w:val="24"/>
          <w:lang w:eastAsia="pl-PL"/>
        </w:rPr>
      </w:pPr>
      <w:r w:rsidRPr="005C3E30">
        <w:rPr>
          <w:rFonts w:ascii="Times New Roman" w:eastAsia="Times New Roman" w:hAnsi="Times New Roman" w:cs="Times New Roman"/>
          <w:sz w:val="24"/>
          <w:szCs w:val="24"/>
          <w:lang w:eastAsia="pl-PL"/>
        </w:rPr>
        <w:t>Na skutek wprowadzonych zmian dochody podatkowe ze skali podatkowej spadły w 2022 roku o około 10,9 mld zł, tj. 12,9% w porównaniu z rokiem poprzednim pomimo dynamicznego wzrostu funduszu wynagrodzeń w gospodarce narodowej, funduszu emerytur i rent oraz nominalnego PKB.</w:t>
      </w:r>
      <w:r w:rsidRPr="005C3E30">
        <w:rPr>
          <w:rFonts w:ascii="Times New Roman" w:eastAsia="Times New Roman" w:hAnsi="Times New Roman" w:cs="Times New Roman"/>
          <w:sz w:val="24"/>
          <w:szCs w:val="24"/>
          <w:lang w:eastAsia="pl-PL"/>
        </w:rPr>
        <w:br/>
        <w:t>W ramach wprowadzonych reform zmianie uległy również zasady wyliczania składki zdrowotnej dla osób prowadzących działalność gospodarczą oraz zmienione zostały niektóre stawki ryczałtu od przychodów ewidencjonowanych. Skutkowało to relatywnym wzrostem opłacalności rozliczania się ryczałtem, przez co część podatników zmieniła swoją formę opodatkowania. W związku z tym dochody podatkowe z podatku liniowego spadły o około 6,3 mld zł (tj. o 16,1%), natomiast z ryczałtu od przychodów ewidencjonowanych wzrosły o około 10,8 mld zł (tj. o 203,</w:t>
      </w:r>
      <w:r w:rsidR="00847049">
        <w:rPr>
          <w:rFonts w:ascii="Times New Roman" w:eastAsia="Times New Roman" w:hAnsi="Times New Roman" w:cs="Times New Roman"/>
          <w:sz w:val="24"/>
          <w:szCs w:val="24"/>
          <w:lang w:eastAsia="pl-PL"/>
        </w:rPr>
        <w:t>3%) w porównaniu z rokiem 2021.</w:t>
      </w:r>
      <w:r w:rsidRPr="005C3E30">
        <w:rPr>
          <w:rFonts w:ascii="Times New Roman" w:eastAsia="Times New Roman" w:hAnsi="Times New Roman" w:cs="Times New Roman"/>
          <w:sz w:val="24"/>
          <w:szCs w:val="24"/>
          <w:lang w:eastAsia="pl-PL"/>
        </w:rPr>
        <w:br/>
        <w:t xml:space="preserve">Wpływy z podatku dochodowego od osób prawnych (CIT) wzrosły natomiast w 2022 roku o 17,4 mld zł, tj. o 25,4% w porównaniu do 2021 roku, co było przede wszystkim wynikiem dobrej sytuacji w gospodarce. </w:t>
      </w:r>
    </w:p>
    <w:p w:rsidR="00FC71CD" w:rsidRPr="00A722F3" w:rsidRDefault="00FC71CD" w:rsidP="00A722F3">
      <w:pPr>
        <w:ind w:left="-426"/>
        <w:jc w:val="both"/>
        <w:rPr>
          <w:rFonts w:ascii="Times New Roman" w:eastAsia="Times New Roman" w:hAnsi="Times New Roman" w:cs="Times New Roman"/>
          <w:sz w:val="24"/>
          <w:szCs w:val="24"/>
          <w:lang w:eastAsia="pl-PL"/>
        </w:rPr>
      </w:pPr>
      <w:r w:rsidRPr="00A722F3">
        <w:rPr>
          <w:rFonts w:ascii="Times New Roman" w:eastAsia="Times New Roman" w:hAnsi="Times New Roman" w:cs="Times New Roman"/>
          <w:sz w:val="24"/>
          <w:szCs w:val="24"/>
          <w:lang w:eastAsia="pl-PL"/>
        </w:rPr>
        <w:t>Rosną całkowite wydatki związane z wiekiem - z 20,1% PKB do 24,1% PKB. Główną determinantą wzrostu tych wydatków są wydatki na opiekę zdrowotną i długoterminową. W prognozie zostało uwzględnione stopniowe zwiększanie nakładów na ochronę zdrowia do 2024 roku do osiągnięcia poziomu 6% PKB.</w:t>
      </w:r>
    </w:p>
    <w:p w:rsidR="00A722F3" w:rsidRDefault="00FC71CD" w:rsidP="00A722F3">
      <w:pPr>
        <w:ind w:left="-426"/>
        <w:jc w:val="both"/>
        <w:rPr>
          <w:rFonts w:ascii="Times New Roman" w:eastAsia="Times New Roman" w:hAnsi="Times New Roman" w:cs="Times New Roman"/>
          <w:sz w:val="24"/>
          <w:szCs w:val="24"/>
          <w:lang w:eastAsia="pl-PL"/>
        </w:rPr>
      </w:pPr>
      <w:r w:rsidRPr="00A722F3">
        <w:rPr>
          <w:rFonts w:ascii="Times New Roman" w:eastAsia="Times New Roman" w:hAnsi="Times New Roman" w:cs="Times New Roman"/>
          <w:sz w:val="24"/>
          <w:szCs w:val="24"/>
          <w:lang w:eastAsia="pl-PL"/>
        </w:rPr>
        <w:t xml:space="preserve"> Po zakończeniu prac AWG </w:t>
      </w:r>
      <w:proofErr w:type="spellStart"/>
      <w:r w:rsidRPr="00A722F3">
        <w:rPr>
          <w:rFonts w:ascii="Times New Roman" w:eastAsia="Times New Roman" w:hAnsi="Times New Roman" w:cs="Times New Roman"/>
          <w:sz w:val="24"/>
          <w:szCs w:val="24"/>
          <w:lang w:eastAsia="pl-PL"/>
        </w:rPr>
        <w:t>nad</w:t>
      </w:r>
      <w:proofErr w:type="spellEnd"/>
      <w:r w:rsidRPr="00A722F3">
        <w:rPr>
          <w:rFonts w:ascii="Times New Roman" w:eastAsia="Times New Roman" w:hAnsi="Times New Roman" w:cs="Times New Roman"/>
          <w:sz w:val="24"/>
          <w:szCs w:val="24"/>
          <w:lang w:eastAsia="pl-PL"/>
        </w:rPr>
        <w:t xml:space="preserve"> prognozami dotyczącymi opieki zdrowotnej weszła w życie ustawa z dnia 11 sierpnia 2021 r. o zmianie ustawy o świadczeniach opieki zdrowotnej finansowanych ze środków publicznych oraz niektórych innych ustaw (Dz. U. poz. 1773). Zakłada ona stopniowe zwiększanie nakładów na ochronę zdrowia do 2027 roku aż do osiągnięcia poziomu 7% PKB. Należy podkreślić, że ze względów organizacyjnych (raport jest przygotowywany co 3 lata) i technicznych uwzględnienie zmian w modelach prognostycznych wymaga czasu i odpowiedniej procedury 23 .</w:t>
      </w:r>
      <w:r w:rsidRPr="00A722F3">
        <w:rPr>
          <w:rFonts w:ascii="Times New Roman" w:eastAsia="Times New Roman" w:hAnsi="Times New Roman" w:cs="Times New Roman"/>
          <w:sz w:val="24"/>
          <w:szCs w:val="24"/>
          <w:lang w:eastAsia="pl-PL"/>
        </w:rPr>
        <w:br/>
        <w:t>Wzrost potencjalnych zobowiązań w 2022 roku wynikał z udzielenia gwarancji Skarbu Państwa dotyczących w szczególności:</w:t>
      </w:r>
    </w:p>
    <w:p w:rsidR="00A722F3" w:rsidRDefault="00FC71CD" w:rsidP="00A722F3">
      <w:pPr>
        <w:pStyle w:val="Akapitzlist"/>
        <w:numPr>
          <w:ilvl w:val="0"/>
          <w:numId w:val="16"/>
        </w:numPr>
        <w:jc w:val="both"/>
      </w:pPr>
      <w:r w:rsidRPr="00A722F3">
        <w:t>wsparcia funkcjonowania sektora energetycznego (gwarancje zabezpieczające zobowiązania finansowe sprzedawców gazu w celu pozyskania środków na zagwarantowanie ciągłości dostaw paliwa gazowego oraz gwarancje na finansowanie centralnie poleconego zakupu węgla w celu ustabilizowania rynku tego surowca), czyli wsparcia w celu przeciwdziałania negatywnym skutkom gospodarczym agresji rosyjskiej na Ukrainę,</w:t>
      </w:r>
    </w:p>
    <w:p w:rsidR="00A722F3" w:rsidRDefault="00FC71CD" w:rsidP="00A722F3">
      <w:pPr>
        <w:pStyle w:val="Akapitzlist"/>
        <w:numPr>
          <w:ilvl w:val="0"/>
          <w:numId w:val="16"/>
        </w:numPr>
        <w:jc w:val="both"/>
      </w:pPr>
      <w:r w:rsidRPr="00A722F3">
        <w:t>finansowania nowoutworzonego Funduszu Wsparcia Sił Zbrojnych na realizację potrzeb obronnych kraju,</w:t>
      </w:r>
    </w:p>
    <w:p w:rsidR="00A722F3" w:rsidRDefault="00FC71CD" w:rsidP="00A722F3">
      <w:pPr>
        <w:pStyle w:val="Akapitzlist"/>
        <w:numPr>
          <w:ilvl w:val="0"/>
          <w:numId w:val="16"/>
        </w:numPr>
        <w:jc w:val="both"/>
      </w:pPr>
      <w:r w:rsidRPr="00A722F3">
        <w:t>kontynuacji finansowania Funduszu Przeciwdziałania COVID-19,</w:t>
      </w:r>
    </w:p>
    <w:p w:rsidR="00A722F3" w:rsidRDefault="00FC71CD" w:rsidP="00A722F3">
      <w:pPr>
        <w:pStyle w:val="Akapitzlist"/>
        <w:numPr>
          <w:ilvl w:val="0"/>
          <w:numId w:val="16"/>
        </w:numPr>
        <w:jc w:val="both"/>
      </w:pPr>
      <w:r w:rsidRPr="00A722F3">
        <w:t>kontynuacji wsparcia rozwoju infrastruktury (gwarancje za zobowiązania Krajowego Funduszu Drogowego oraz sektora kolejowego),</w:t>
      </w:r>
    </w:p>
    <w:p w:rsidR="00A722F3" w:rsidRDefault="00FC71CD" w:rsidP="00A722F3">
      <w:pPr>
        <w:pStyle w:val="Akapitzlist"/>
        <w:numPr>
          <w:ilvl w:val="0"/>
          <w:numId w:val="16"/>
        </w:numPr>
        <w:jc w:val="both"/>
      </w:pPr>
      <w:r w:rsidRPr="00A722F3">
        <w:t>finansowania Funduszu Pomocy na podstawie ustawy z dnia 12 marca 2022 r. o pomocy obywatelom Ukrainy w związku z konfliktem zbrojnym na terytorium tego państwa.</w:t>
      </w:r>
      <w:r w:rsidRPr="00A722F3">
        <w:br/>
      </w:r>
    </w:p>
    <w:p w:rsidR="00FC71CD" w:rsidRDefault="00FC71CD" w:rsidP="00A722F3">
      <w:pPr>
        <w:pStyle w:val="Akapitzlist"/>
        <w:ind w:left="294"/>
        <w:jc w:val="both"/>
      </w:pPr>
      <w:r w:rsidRPr="00A722F3">
        <w:t xml:space="preserve">Na koniec 2022 roku większość potencjalnych niewymagalnych zobowiązań z tytułu poręczeń i gwarancji wynikała z gwarancji udzielonych przez Skarb Państwa w związku ze skutkami pandemii COVID-19 (58% portfela). </w:t>
      </w:r>
    </w:p>
    <w:p w:rsidR="00A722F3" w:rsidRPr="00A722F3" w:rsidRDefault="00A722F3" w:rsidP="00A722F3">
      <w:pPr>
        <w:pStyle w:val="Akapitzlist"/>
        <w:ind w:left="294"/>
        <w:jc w:val="both"/>
      </w:pPr>
    </w:p>
    <w:p w:rsidR="00A55173" w:rsidRPr="004003B8" w:rsidRDefault="00FC71CD" w:rsidP="004003B8">
      <w:pPr>
        <w:ind w:left="-426"/>
        <w:rPr>
          <w:rFonts w:ascii="Times New Roman" w:eastAsia="Times New Roman" w:hAnsi="Times New Roman" w:cs="Times New Roman"/>
          <w:sz w:val="24"/>
          <w:szCs w:val="24"/>
          <w:lang w:eastAsia="pl-PL"/>
        </w:rPr>
      </w:pPr>
      <w:r w:rsidRPr="00A722F3">
        <w:rPr>
          <w:rFonts w:ascii="Times New Roman" w:eastAsia="Times New Roman" w:hAnsi="Times New Roman" w:cs="Times New Roman"/>
          <w:sz w:val="24"/>
          <w:szCs w:val="24"/>
          <w:lang w:eastAsia="pl-PL"/>
        </w:rPr>
        <w:t xml:space="preserve">Następną grupę stanowiły gwarancje infrastrukturalne (28% portfela). </w:t>
      </w:r>
      <w:r w:rsidRPr="00084492">
        <w:rPr>
          <w:rFonts w:ascii="Times New Roman" w:eastAsia="Times New Roman" w:hAnsi="Times New Roman" w:cs="Times New Roman"/>
          <w:sz w:val="24"/>
          <w:szCs w:val="24"/>
          <w:lang w:eastAsia="pl-PL"/>
        </w:rPr>
        <w:t xml:space="preserve">Trzecią istotną grupą były nowe gwarancje wynikające w </w:t>
      </w:r>
      <w:r w:rsidRPr="00A722F3">
        <w:rPr>
          <w:rFonts w:ascii="Times New Roman" w:eastAsia="Times New Roman" w:hAnsi="Times New Roman" w:cs="Times New Roman"/>
          <w:sz w:val="24"/>
          <w:szCs w:val="24"/>
          <w:lang w:eastAsia="pl-PL"/>
        </w:rPr>
        <w:t>szczególności z trudnej sytuacji geopolitycznej i energetycznej w 2022 roku (13% portfela).</w:t>
      </w:r>
    </w:p>
    <w:p w:rsidR="00E53A9D" w:rsidRPr="006367DF" w:rsidRDefault="00E53A9D" w:rsidP="002A01E0">
      <w:pPr>
        <w:ind w:left="-426"/>
        <w:jc w:val="both"/>
        <w:rPr>
          <w:rFonts w:ascii="Times New Roman" w:hAnsi="Times New Roman" w:cs="Times New Roman"/>
          <w:b/>
          <w:bCs/>
          <w:sz w:val="24"/>
          <w:szCs w:val="24"/>
        </w:rPr>
      </w:pPr>
      <w:r w:rsidRPr="007B32F4">
        <w:rPr>
          <w:rFonts w:ascii="Times New Roman" w:hAnsi="Times New Roman" w:cs="Times New Roman"/>
          <w:b/>
          <w:bCs/>
          <w:sz w:val="24"/>
          <w:szCs w:val="24"/>
        </w:rPr>
        <w:lastRenderedPageBreak/>
        <w:t>Prognozę sytuacji ekonomiczno-finansowej samodzielnych publicznych zakładów opieki zdrowotnej na lata 202</w:t>
      </w:r>
      <w:r w:rsidR="004003B8">
        <w:rPr>
          <w:rFonts w:ascii="Times New Roman" w:hAnsi="Times New Roman" w:cs="Times New Roman"/>
          <w:b/>
          <w:bCs/>
          <w:sz w:val="24"/>
          <w:szCs w:val="24"/>
        </w:rPr>
        <w:t>3</w:t>
      </w:r>
      <w:r w:rsidRPr="007B32F4">
        <w:rPr>
          <w:rFonts w:ascii="Times New Roman" w:hAnsi="Times New Roman" w:cs="Times New Roman"/>
          <w:b/>
          <w:bCs/>
          <w:sz w:val="24"/>
          <w:szCs w:val="24"/>
        </w:rPr>
        <w:t>-202</w:t>
      </w:r>
      <w:r w:rsidR="004003B8">
        <w:rPr>
          <w:rFonts w:ascii="Times New Roman" w:hAnsi="Times New Roman" w:cs="Times New Roman"/>
          <w:b/>
          <w:bCs/>
          <w:sz w:val="24"/>
          <w:szCs w:val="24"/>
        </w:rPr>
        <w:t>5</w:t>
      </w:r>
      <w:r w:rsidRPr="007B32F4">
        <w:rPr>
          <w:rFonts w:ascii="Times New Roman" w:hAnsi="Times New Roman" w:cs="Times New Roman"/>
          <w:b/>
          <w:bCs/>
          <w:sz w:val="24"/>
          <w:szCs w:val="24"/>
        </w:rPr>
        <w:t xml:space="preserve">  oparto na planie finan</w:t>
      </w:r>
      <w:r w:rsidR="00E35792" w:rsidRPr="007B32F4">
        <w:rPr>
          <w:rFonts w:ascii="Times New Roman" w:hAnsi="Times New Roman" w:cs="Times New Roman"/>
          <w:b/>
          <w:bCs/>
          <w:sz w:val="24"/>
          <w:szCs w:val="24"/>
        </w:rPr>
        <w:t>sowym na 202</w:t>
      </w:r>
      <w:r w:rsidR="004003B8">
        <w:rPr>
          <w:rFonts w:ascii="Times New Roman" w:hAnsi="Times New Roman" w:cs="Times New Roman"/>
          <w:b/>
          <w:bCs/>
          <w:sz w:val="24"/>
          <w:szCs w:val="24"/>
        </w:rPr>
        <w:t>3</w:t>
      </w:r>
      <w:r w:rsidRPr="007B32F4">
        <w:rPr>
          <w:rFonts w:ascii="Times New Roman" w:hAnsi="Times New Roman" w:cs="Times New Roman"/>
          <w:b/>
          <w:bCs/>
          <w:sz w:val="24"/>
          <w:szCs w:val="24"/>
        </w:rPr>
        <w:t xml:space="preserve"> rok.</w:t>
      </w:r>
    </w:p>
    <w:p w:rsidR="004F3565" w:rsidRDefault="00847049" w:rsidP="002A2232">
      <w:pPr>
        <w:spacing w:after="0" w:line="240" w:lineRule="auto"/>
        <w:ind w:left="-425"/>
        <w:jc w:val="both"/>
        <w:rPr>
          <w:rFonts w:ascii="Times New Roman" w:hAnsi="Times New Roman" w:cs="Times New Roman"/>
          <w:sz w:val="24"/>
          <w:szCs w:val="24"/>
        </w:rPr>
      </w:pPr>
      <w:r>
        <w:rPr>
          <w:rFonts w:ascii="Times New Roman" w:hAnsi="Times New Roman" w:cs="Times New Roman"/>
          <w:b/>
          <w:bCs/>
          <w:sz w:val="24"/>
          <w:szCs w:val="24"/>
        </w:rPr>
        <w:t>Prognoza przychodów na 2023</w:t>
      </w:r>
      <w:r w:rsidRPr="006367DF">
        <w:rPr>
          <w:rFonts w:ascii="Times New Roman" w:hAnsi="Times New Roman" w:cs="Times New Roman"/>
          <w:b/>
          <w:bCs/>
          <w:sz w:val="24"/>
          <w:szCs w:val="24"/>
        </w:rPr>
        <w:t xml:space="preserve"> rok </w:t>
      </w:r>
      <w:r w:rsidR="00E53A9D" w:rsidRPr="006367DF">
        <w:rPr>
          <w:rFonts w:ascii="Times New Roman" w:hAnsi="Times New Roman" w:cs="Times New Roman"/>
          <w:sz w:val="24"/>
          <w:szCs w:val="24"/>
        </w:rPr>
        <w:t xml:space="preserve">i lata następne została oparta na planie rzeczowo-finansowym umowy z </w:t>
      </w:r>
      <w:r w:rsidR="004003B8">
        <w:rPr>
          <w:rFonts w:ascii="Times New Roman" w:hAnsi="Times New Roman" w:cs="Times New Roman"/>
          <w:sz w:val="24"/>
          <w:szCs w:val="24"/>
        </w:rPr>
        <w:t xml:space="preserve">NFZ. Przychody z NFZ stanowią 65% przychodów </w:t>
      </w:r>
      <w:proofErr w:type="spellStart"/>
      <w:r w:rsidR="004003B8">
        <w:rPr>
          <w:rFonts w:ascii="Times New Roman" w:hAnsi="Times New Roman" w:cs="Times New Roman"/>
          <w:sz w:val="24"/>
          <w:szCs w:val="24"/>
        </w:rPr>
        <w:t>spzoz</w:t>
      </w:r>
      <w:proofErr w:type="spellEnd"/>
      <w:r w:rsidR="004003B8">
        <w:rPr>
          <w:rFonts w:ascii="Times New Roman" w:hAnsi="Times New Roman" w:cs="Times New Roman"/>
          <w:sz w:val="24"/>
          <w:szCs w:val="24"/>
        </w:rPr>
        <w:t xml:space="preserve"> a 35</w:t>
      </w:r>
      <w:r w:rsidR="004A6F5D">
        <w:rPr>
          <w:rFonts w:ascii="Times New Roman" w:hAnsi="Times New Roman" w:cs="Times New Roman"/>
          <w:sz w:val="24"/>
          <w:szCs w:val="24"/>
        </w:rPr>
        <w:t>%</w:t>
      </w:r>
      <w:r w:rsidR="000749FA">
        <w:rPr>
          <w:rFonts w:ascii="Times New Roman" w:hAnsi="Times New Roman" w:cs="Times New Roman"/>
          <w:sz w:val="24"/>
          <w:szCs w:val="24"/>
        </w:rPr>
        <w:t xml:space="preserve"> </w:t>
      </w:r>
      <w:r w:rsidR="004A6F5D">
        <w:rPr>
          <w:rFonts w:ascii="Times New Roman" w:hAnsi="Times New Roman" w:cs="Times New Roman"/>
          <w:sz w:val="24"/>
          <w:szCs w:val="24"/>
        </w:rPr>
        <w:t>finansowane ze środków prywatnych (pobyty komercyjne).</w:t>
      </w:r>
      <w:r w:rsidR="00E53A9D" w:rsidRPr="006367DF">
        <w:rPr>
          <w:rFonts w:ascii="Times New Roman" w:hAnsi="Times New Roman" w:cs="Times New Roman"/>
          <w:sz w:val="24"/>
          <w:szCs w:val="24"/>
        </w:rPr>
        <w:t xml:space="preserve"> Wysokość kontraktu ma bezpośredni wpływ na kondycję finansową podmiotu. </w:t>
      </w:r>
    </w:p>
    <w:p w:rsidR="004003B8" w:rsidRDefault="004003B8" w:rsidP="002A2232">
      <w:pPr>
        <w:spacing w:after="0" w:line="240" w:lineRule="auto"/>
        <w:ind w:left="-425"/>
        <w:jc w:val="both"/>
        <w:rPr>
          <w:rFonts w:ascii="Times New Roman" w:hAnsi="Times New Roman" w:cs="Times New Roman"/>
          <w:sz w:val="24"/>
          <w:szCs w:val="24"/>
        </w:rPr>
      </w:pPr>
    </w:p>
    <w:p w:rsidR="006C7DF5" w:rsidRDefault="006C7DF5" w:rsidP="002A2232">
      <w:pPr>
        <w:spacing w:after="0" w:line="240" w:lineRule="auto"/>
        <w:ind w:left="-425"/>
        <w:jc w:val="both"/>
        <w:rPr>
          <w:rFonts w:ascii="Times New Roman" w:hAnsi="Times New Roman" w:cs="Times New Roman"/>
          <w:sz w:val="24"/>
          <w:szCs w:val="24"/>
        </w:rPr>
      </w:pPr>
      <w:r w:rsidRPr="006C7DF5">
        <w:rPr>
          <w:rFonts w:ascii="Times New Roman" w:hAnsi="Times New Roman" w:cs="Times New Roman"/>
          <w:sz w:val="24"/>
          <w:szCs w:val="24"/>
        </w:rPr>
        <w:t xml:space="preserve">Poziom dochodów budżetu państwa w 2023 r. będzie determinowany sytuacją makroekonomiczną. Zgodnie z przyjętym scenariuszem makroekonomicznym wzrost PKB osiągnie w 2023 r. 1,7% w ujęciu realnym, wobec wzrostu o 4,6% w 2022 r. W ujęciu nominalnym również nastąpi pogorszenie warunków gromadzenia dochodów podatkowych. Wzrost PKB w ujęciu nominalnym osiągnie w 2023 r. 9,9%, wobec 15,1% w 2022 r. Prognozuje się, że w 2023 r. dochody podatkowe wzrosną o 17,4% w ujęciu nominalnym. Wskaźnikami makroekonomicznymi, które w głównym stopniu determinują prognozę dochodów są: </w:t>
      </w:r>
    </w:p>
    <w:p w:rsidR="006C7DF5" w:rsidRDefault="006C7DF5" w:rsidP="006C7DF5">
      <w:pPr>
        <w:spacing w:after="0" w:line="240" w:lineRule="auto"/>
        <w:ind w:left="-425" w:firstLine="1133"/>
        <w:jc w:val="both"/>
        <w:rPr>
          <w:rFonts w:ascii="Times New Roman" w:hAnsi="Times New Roman" w:cs="Times New Roman"/>
          <w:sz w:val="24"/>
          <w:szCs w:val="24"/>
        </w:rPr>
      </w:pPr>
      <w:r w:rsidRPr="006C7DF5">
        <w:rPr>
          <w:rFonts w:ascii="Times New Roman" w:hAnsi="Times New Roman" w:cs="Times New Roman"/>
          <w:sz w:val="24"/>
          <w:szCs w:val="24"/>
        </w:rPr>
        <w:sym w:font="Symbol" w:char="F0B7"/>
      </w:r>
      <w:r w:rsidRPr="006C7DF5">
        <w:rPr>
          <w:rFonts w:ascii="Times New Roman" w:hAnsi="Times New Roman" w:cs="Times New Roman"/>
          <w:sz w:val="24"/>
          <w:szCs w:val="24"/>
        </w:rPr>
        <w:t xml:space="preserve"> wzrost PKB (w ujęciu realnym o 1,7%, nominalnym o 9,9%),</w:t>
      </w:r>
    </w:p>
    <w:p w:rsidR="006C7DF5" w:rsidRDefault="006C7DF5" w:rsidP="006C7DF5">
      <w:pPr>
        <w:spacing w:after="0" w:line="240" w:lineRule="auto"/>
        <w:ind w:left="-425" w:firstLine="1133"/>
        <w:jc w:val="both"/>
        <w:rPr>
          <w:rFonts w:ascii="Times New Roman" w:hAnsi="Times New Roman" w:cs="Times New Roman"/>
          <w:sz w:val="24"/>
          <w:szCs w:val="24"/>
        </w:rPr>
      </w:pPr>
      <w:r w:rsidRPr="006C7DF5">
        <w:rPr>
          <w:rFonts w:ascii="Times New Roman" w:hAnsi="Times New Roman" w:cs="Times New Roman"/>
          <w:sz w:val="24"/>
          <w:szCs w:val="24"/>
        </w:rPr>
        <w:sym w:font="Symbol" w:char="F0B7"/>
      </w:r>
      <w:r w:rsidRPr="006C7DF5">
        <w:rPr>
          <w:rFonts w:ascii="Times New Roman" w:hAnsi="Times New Roman" w:cs="Times New Roman"/>
          <w:sz w:val="24"/>
          <w:szCs w:val="24"/>
        </w:rPr>
        <w:t xml:space="preserve"> średnioroczny wzrost cen towarów i usług konsumpcyjnych (9,8%),</w:t>
      </w:r>
    </w:p>
    <w:p w:rsidR="006C7DF5" w:rsidRDefault="006C7DF5" w:rsidP="006C7DF5">
      <w:pPr>
        <w:spacing w:after="0" w:line="240" w:lineRule="auto"/>
        <w:ind w:left="708"/>
        <w:rPr>
          <w:rFonts w:ascii="Times New Roman" w:hAnsi="Times New Roman" w:cs="Times New Roman"/>
          <w:sz w:val="24"/>
          <w:szCs w:val="24"/>
        </w:rPr>
      </w:pPr>
      <w:r w:rsidRPr="006C7DF5">
        <w:rPr>
          <w:rFonts w:ascii="Times New Roman" w:hAnsi="Times New Roman" w:cs="Times New Roman"/>
          <w:sz w:val="24"/>
          <w:szCs w:val="24"/>
        </w:rPr>
        <w:sym w:font="Symbol" w:char="F0B7"/>
      </w:r>
      <w:r w:rsidRPr="006C7DF5">
        <w:rPr>
          <w:rFonts w:ascii="Times New Roman" w:hAnsi="Times New Roman" w:cs="Times New Roman"/>
          <w:sz w:val="24"/>
          <w:szCs w:val="24"/>
        </w:rPr>
        <w:t xml:space="preserve"> wzrost przeciętnego rocznego funduszu wyn</w:t>
      </w:r>
      <w:r>
        <w:rPr>
          <w:rFonts w:ascii="Times New Roman" w:hAnsi="Times New Roman" w:cs="Times New Roman"/>
          <w:sz w:val="24"/>
          <w:szCs w:val="24"/>
        </w:rPr>
        <w:t xml:space="preserve">agrodzeń w gospodarce narodowej   </w:t>
      </w:r>
      <w:r w:rsidRPr="006C7DF5">
        <w:rPr>
          <w:rFonts w:ascii="Times New Roman" w:hAnsi="Times New Roman" w:cs="Times New Roman"/>
          <w:sz w:val="24"/>
          <w:szCs w:val="24"/>
        </w:rPr>
        <w:t xml:space="preserve">(nominalnie o 9,6%), </w:t>
      </w:r>
    </w:p>
    <w:p w:rsidR="006C7DF5" w:rsidRDefault="006C7DF5" w:rsidP="006C7DF5">
      <w:pPr>
        <w:spacing w:after="0" w:line="240" w:lineRule="auto"/>
        <w:ind w:left="-425" w:firstLine="1133"/>
        <w:jc w:val="both"/>
        <w:rPr>
          <w:rFonts w:ascii="Times New Roman" w:hAnsi="Times New Roman" w:cs="Times New Roman"/>
          <w:sz w:val="24"/>
          <w:szCs w:val="24"/>
        </w:rPr>
      </w:pPr>
      <w:r w:rsidRPr="006C7DF5">
        <w:rPr>
          <w:rFonts w:ascii="Times New Roman" w:hAnsi="Times New Roman" w:cs="Times New Roman"/>
          <w:sz w:val="24"/>
          <w:szCs w:val="24"/>
        </w:rPr>
        <w:sym w:font="Symbol" w:char="F0B7"/>
      </w:r>
      <w:r w:rsidRPr="006C7DF5">
        <w:rPr>
          <w:rFonts w:ascii="Times New Roman" w:hAnsi="Times New Roman" w:cs="Times New Roman"/>
          <w:sz w:val="24"/>
          <w:szCs w:val="24"/>
        </w:rPr>
        <w:t xml:space="preserve"> wzrost spożycia prywatnego (w ujęciu nominalnym o 12,1%).</w:t>
      </w:r>
    </w:p>
    <w:p w:rsidR="00F36223" w:rsidRDefault="006C7DF5" w:rsidP="003D061B">
      <w:pPr>
        <w:spacing w:after="0" w:line="240" w:lineRule="auto"/>
        <w:ind w:left="-425"/>
        <w:jc w:val="both"/>
        <w:rPr>
          <w:rFonts w:ascii="Times New Roman" w:hAnsi="Times New Roman" w:cs="Times New Roman"/>
          <w:sz w:val="24"/>
          <w:szCs w:val="24"/>
        </w:rPr>
      </w:pPr>
      <w:r w:rsidRPr="006C7DF5">
        <w:rPr>
          <w:rFonts w:ascii="Times New Roman" w:hAnsi="Times New Roman" w:cs="Times New Roman"/>
          <w:sz w:val="24"/>
          <w:szCs w:val="24"/>
        </w:rPr>
        <w:t xml:space="preserve"> Na poziom dochodów podatkowych budżetu państwa w 2023 r. wpływ będą miały planowane zmiany systemowe. Zgodnie rządowym projektem ustawy o zmianie ustawy o podatku dochodowym od osób prawny</w:t>
      </w:r>
      <w:r w:rsidR="00741961">
        <w:rPr>
          <w:rFonts w:ascii="Times New Roman" w:hAnsi="Times New Roman" w:cs="Times New Roman"/>
          <w:sz w:val="24"/>
          <w:szCs w:val="24"/>
        </w:rPr>
        <w:t xml:space="preserve">ch oraz niektórych innych ustaw, </w:t>
      </w:r>
      <w:r w:rsidRPr="006C7DF5">
        <w:rPr>
          <w:rFonts w:ascii="Times New Roman" w:hAnsi="Times New Roman" w:cs="Times New Roman"/>
          <w:sz w:val="24"/>
          <w:szCs w:val="24"/>
        </w:rPr>
        <w:t>zakłada się w 2023 r. utrzymanie stawek VAT na dotychczasowym poziomie 23% i 8%, które jest niezbędne w związku z konfliktem zbrojnym w Ukrainie i koniecznością ponoszenia zwiększonych wydatków na obronę. W podatku akcyzowym na dochody w 2023 r. będzie miało wpływ podwyższenie stawek akcyzy</w:t>
      </w:r>
      <w:r w:rsidR="00BD4CEE">
        <w:rPr>
          <w:rFonts w:ascii="Times New Roman" w:hAnsi="Times New Roman" w:cs="Times New Roman"/>
          <w:sz w:val="24"/>
          <w:szCs w:val="24"/>
        </w:rPr>
        <w:t xml:space="preserve"> na alkohol etylowy, piwo, wino</w:t>
      </w:r>
      <w:r w:rsidRPr="006C7DF5">
        <w:rPr>
          <w:rFonts w:ascii="Times New Roman" w:hAnsi="Times New Roman" w:cs="Times New Roman"/>
          <w:sz w:val="24"/>
          <w:szCs w:val="24"/>
        </w:rPr>
        <w:t xml:space="preserve"> oraz wyroby pośrednie o 5%, podwyższenie stawki akcyzy na wyroby nowatorskie poprzez podniesienie stawki kwotowej o 10%, podwyższenie stawek akcyzy na papierosy i tytoń do palenia poprzez podniesienie stawki kwotowej o 10%. Na poziom dochodów podatkowych w 2023 r. wpływ będą miały również zmiany </w:t>
      </w:r>
      <w:r w:rsidR="00442F4F" w:rsidRPr="006C7DF5">
        <w:rPr>
          <w:rFonts w:ascii="Times New Roman" w:hAnsi="Times New Roman" w:cs="Times New Roman"/>
          <w:sz w:val="24"/>
          <w:szCs w:val="24"/>
        </w:rPr>
        <w:t>oddziaływujące</w:t>
      </w:r>
      <w:r w:rsidRPr="006C7DF5">
        <w:rPr>
          <w:rFonts w:ascii="Times New Roman" w:hAnsi="Times New Roman" w:cs="Times New Roman"/>
          <w:sz w:val="24"/>
          <w:szCs w:val="24"/>
        </w:rPr>
        <w:t xml:space="preserve"> na podatników podatku dochodowego od osób fizycznych oraz opłacających ryczałt </w:t>
      </w:r>
      <w:r>
        <w:rPr>
          <w:rFonts w:ascii="Times New Roman" w:hAnsi="Times New Roman" w:cs="Times New Roman"/>
          <w:sz w:val="24"/>
          <w:szCs w:val="24"/>
        </w:rPr>
        <w:t>od przychodów ewidencjonowanych.</w:t>
      </w:r>
    </w:p>
    <w:p w:rsidR="002635BD" w:rsidRPr="002635BD" w:rsidRDefault="002635BD" w:rsidP="002635BD">
      <w:pPr>
        <w:shd w:val="clear" w:color="auto" w:fill="FFFFFF"/>
        <w:spacing w:after="0" w:line="240" w:lineRule="auto"/>
        <w:ind w:left="-426"/>
        <w:jc w:val="both"/>
        <w:rPr>
          <w:rFonts w:ascii="Times New Roman" w:eastAsia="Times New Roman" w:hAnsi="Times New Roman" w:cs="Times New Roman"/>
          <w:color w:val="1C1C1C"/>
          <w:sz w:val="24"/>
          <w:szCs w:val="24"/>
          <w:lang w:eastAsia="pl-PL"/>
        </w:rPr>
      </w:pPr>
      <w:r w:rsidRPr="002635BD">
        <w:rPr>
          <w:rFonts w:ascii="Times New Roman" w:eastAsia="Times New Roman" w:hAnsi="Times New Roman" w:cs="Times New Roman"/>
          <w:color w:val="1C1C1C"/>
          <w:sz w:val="24"/>
          <w:szCs w:val="24"/>
          <w:lang w:eastAsia="pl-PL"/>
        </w:rPr>
        <w:t xml:space="preserve">Wynagrodzenia w gospodarce rosną, a tym samym wpływy ze składki zdrowotnej. Dodatkowym zabezpieczeniem jest realizacja ustawy o 7 proc. PKB na zdrowie i związane z </w:t>
      </w:r>
      <w:r w:rsidRPr="002635BD">
        <w:rPr>
          <w:rFonts w:ascii="Times New Roman" w:hAnsi="Times New Roman" w:cs="Times New Roman"/>
          <w:color w:val="1C1C1C"/>
          <w:sz w:val="24"/>
          <w:szCs w:val="24"/>
          <w:shd w:val="clear" w:color="auto" w:fill="FFFFFF"/>
        </w:rPr>
        <w:t>tym wpływy z budżetu. Ponadto dysponujemy jeszcze rezerwą ogólną.</w:t>
      </w:r>
    </w:p>
    <w:p w:rsidR="002635BD" w:rsidRDefault="002635BD" w:rsidP="002635BD">
      <w:pPr>
        <w:shd w:val="clear" w:color="auto" w:fill="FFFFFF"/>
        <w:spacing w:after="0" w:line="240" w:lineRule="auto"/>
        <w:ind w:left="-426"/>
        <w:jc w:val="both"/>
        <w:outlineLvl w:val="2"/>
        <w:rPr>
          <w:rFonts w:ascii="Times New Roman" w:eastAsia="Times New Roman" w:hAnsi="Times New Roman" w:cs="Times New Roman"/>
          <w:color w:val="0F0F0F"/>
          <w:sz w:val="24"/>
          <w:szCs w:val="24"/>
          <w:lang w:eastAsia="pl-PL"/>
        </w:rPr>
      </w:pPr>
      <w:r w:rsidRPr="002635BD">
        <w:rPr>
          <w:rFonts w:ascii="Times New Roman" w:eastAsia="Times New Roman" w:hAnsi="Times New Roman" w:cs="Times New Roman"/>
          <w:color w:val="0F0F0F"/>
          <w:sz w:val="24"/>
          <w:szCs w:val="24"/>
          <w:lang w:eastAsia="pl-PL"/>
        </w:rPr>
        <w:t>NFZ zmienił plan finansowy. Większy ryczałt dla szpitali, więcej środków na opiekę paliatywną i hospicyjną</w:t>
      </w:r>
      <w:r w:rsidR="00CF0979">
        <w:rPr>
          <w:rFonts w:ascii="Times New Roman" w:eastAsia="Times New Roman" w:hAnsi="Times New Roman" w:cs="Times New Roman"/>
          <w:color w:val="0F0F0F"/>
          <w:sz w:val="24"/>
          <w:szCs w:val="24"/>
          <w:lang w:eastAsia="pl-PL"/>
        </w:rPr>
        <w:t>:</w:t>
      </w:r>
    </w:p>
    <w:p w:rsidR="002635BD" w:rsidRPr="00CF0979" w:rsidRDefault="00CF0979" w:rsidP="00CF0979">
      <w:pPr>
        <w:pStyle w:val="Akapitzlist"/>
        <w:numPr>
          <w:ilvl w:val="0"/>
          <w:numId w:val="18"/>
        </w:numPr>
        <w:shd w:val="clear" w:color="auto" w:fill="FFFFFF"/>
        <w:jc w:val="both"/>
        <w:outlineLvl w:val="2"/>
        <w:rPr>
          <w:color w:val="0F0F0F"/>
        </w:rPr>
      </w:pPr>
      <w:r w:rsidRPr="00CF0979">
        <w:rPr>
          <w:b/>
          <w:bCs/>
          <w:color w:val="0F0F0F"/>
        </w:rPr>
        <w:t>P</w:t>
      </w:r>
      <w:r w:rsidR="002635BD" w:rsidRPr="00CF0979">
        <w:rPr>
          <w:b/>
          <w:bCs/>
          <w:color w:val="0F0F0F"/>
        </w:rPr>
        <w:t>rezes Narodowego Funduszu Zdrowia, uruchomił ponad 3,6 mld zł z funduszu zapasowego NFZ.</w:t>
      </w:r>
    </w:p>
    <w:p w:rsidR="002635BD" w:rsidRPr="00CF0979" w:rsidRDefault="002635BD" w:rsidP="00CF0979">
      <w:pPr>
        <w:pStyle w:val="Akapitzlist"/>
        <w:numPr>
          <w:ilvl w:val="0"/>
          <w:numId w:val="18"/>
        </w:numPr>
        <w:shd w:val="clear" w:color="auto" w:fill="FFFFFF"/>
        <w:jc w:val="both"/>
        <w:outlineLvl w:val="2"/>
        <w:rPr>
          <w:color w:val="0F0F0F"/>
        </w:rPr>
      </w:pPr>
      <w:r w:rsidRPr="00CF0979">
        <w:rPr>
          <w:b/>
          <w:bCs/>
          <w:color w:val="0F0F0F"/>
        </w:rPr>
        <w:t>Uwolnione z funduszu zapasowego środki zostały w całości przeznaczone na wzrost finansowania świadczeń medycznych.</w:t>
      </w:r>
    </w:p>
    <w:p w:rsidR="002635BD" w:rsidRDefault="002635BD" w:rsidP="002635BD">
      <w:pPr>
        <w:spacing w:after="0" w:line="240" w:lineRule="auto"/>
        <w:ind w:left="-425"/>
        <w:jc w:val="both"/>
        <w:rPr>
          <w:rFonts w:ascii="Times New Roman" w:hAnsi="Times New Roman" w:cs="Times New Roman"/>
          <w:sz w:val="24"/>
          <w:szCs w:val="24"/>
        </w:rPr>
      </w:pPr>
    </w:p>
    <w:p w:rsidR="002635BD" w:rsidRDefault="003D061B" w:rsidP="00E30F05">
      <w:pPr>
        <w:spacing w:after="0" w:line="240" w:lineRule="auto"/>
        <w:ind w:left="-425"/>
        <w:contextualSpacing/>
        <w:jc w:val="both"/>
        <w:rPr>
          <w:rFonts w:ascii="Times New Roman" w:hAnsi="Times New Roman" w:cs="Times New Roman"/>
          <w:sz w:val="24"/>
          <w:szCs w:val="24"/>
        </w:rPr>
      </w:pPr>
      <w:r w:rsidRPr="003D061B">
        <w:rPr>
          <w:rFonts w:ascii="Times New Roman" w:hAnsi="Times New Roman" w:cs="Times New Roman"/>
          <w:sz w:val="24"/>
          <w:szCs w:val="24"/>
        </w:rPr>
        <w:t xml:space="preserve">W 2023 r. rząd </w:t>
      </w:r>
      <w:r>
        <w:rPr>
          <w:rFonts w:ascii="Times New Roman" w:hAnsi="Times New Roman" w:cs="Times New Roman"/>
          <w:sz w:val="24"/>
          <w:szCs w:val="24"/>
        </w:rPr>
        <w:t>zwiększy</w:t>
      </w:r>
      <w:r w:rsidRPr="003D061B">
        <w:rPr>
          <w:rFonts w:ascii="Times New Roman" w:hAnsi="Times New Roman" w:cs="Times New Roman"/>
          <w:sz w:val="24"/>
          <w:szCs w:val="24"/>
        </w:rPr>
        <w:t xml:space="preserve"> przychody Narodowego Funduszu Zdrowia o 30 mld zł., czyli o około 26,3 proc. w stosunku do planu na rok bieżący.</w:t>
      </w:r>
      <w:r w:rsidR="00BD4CEE">
        <w:rPr>
          <w:rFonts w:ascii="Times New Roman" w:hAnsi="Times New Roman" w:cs="Times New Roman"/>
          <w:sz w:val="24"/>
          <w:szCs w:val="24"/>
        </w:rPr>
        <w:t xml:space="preserve"> </w:t>
      </w:r>
      <w:r>
        <w:rPr>
          <w:rFonts w:ascii="Times New Roman" w:hAnsi="Times New Roman" w:cs="Times New Roman"/>
          <w:sz w:val="24"/>
          <w:szCs w:val="24"/>
        </w:rPr>
        <w:t>P</w:t>
      </w:r>
      <w:r w:rsidRPr="003D061B">
        <w:rPr>
          <w:rFonts w:ascii="Times New Roman" w:hAnsi="Times New Roman" w:cs="Times New Roman"/>
          <w:sz w:val="24"/>
          <w:szCs w:val="24"/>
        </w:rPr>
        <w:t>rzedłożony projekt planu finansowego Narodowego Funduszu Zdrowia na rok 2023 został oparty o prognozę przychodów oraz kosztów na lata 2023-2025, a także projekty planów finansowych oddziałów wojewódzkich, zaś ujęte w projekcie planu finansowego przychody i odpowiadające im koszty zostały określone w oparciu o wskaźniki makroekonomiczne otrzymane z Ministerstwa Finansów zgodne z przyjętymi do założeń projektu budżetu państwa na rok 2023, w tym zaktualizowane wskaźniki makroekonomiczne na rok 2022.</w:t>
      </w:r>
      <w:r>
        <w:rPr>
          <w:rFonts w:ascii="Times New Roman" w:hAnsi="Times New Roman" w:cs="Times New Roman"/>
          <w:sz w:val="24"/>
          <w:szCs w:val="24"/>
        </w:rPr>
        <w:t xml:space="preserve"> </w:t>
      </w:r>
      <w:r w:rsidRPr="003D061B">
        <w:rPr>
          <w:rFonts w:ascii="Times New Roman" w:hAnsi="Times New Roman" w:cs="Times New Roman"/>
          <w:sz w:val="24"/>
          <w:szCs w:val="24"/>
        </w:rPr>
        <w:t xml:space="preserve">Planowane na rok 2023 przychody NFZ zostały określone w wysokości 144 mld 157 mln zł. To zwiększenie o 30 mld zł stosunku do pierwotnego planu z roku 2022. Kluczowym elementem przychodów są oczywiście przychody ze składek na ubezpieczenie zdrowotne. Na rok 2023 zaplanowano je w wysokości 134 mld 537 mln zł i stanowią one </w:t>
      </w:r>
      <w:r>
        <w:rPr>
          <w:rFonts w:ascii="Times New Roman" w:hAnsi="Times New Roman" w:cs="Times New Roman"/>
          <w:sz w:val="24"/>
          <w:szCs w:val="24"/>
        </w:rPr>
        <w:t>93,33 proc. przychodów ogółem.</w:t>
      </w:r>
    </w:p>
    <w:p w:rsidR="002A01E0" w:rsidRDefault="002A01E0" w:rsidP="002A2232">
      <w:pPr>
        <w:spacing w:after="0" w:line="240" w:lineRule="auto"/>
        <w:ind w:left="-425"/>
        <w:jc w:val="both"/>
        <w:rPr>
          <w:rFonts w:ascii="Times New Roman" w:hAnsi="Times New Roman" w:cs="Times New Roman"/>
          <w:sz w:val="24"/>
        </w:rPr>
      </w:pPr>
      <w:r w:rsidRPr="00D319CD">
        <w:rPr>
          <w:rFonts w:ascii="Times New Roman" w:hAnsi="Times New Roman" w:cs="Times New Roman"/>
          <w:b/>
          <w:bCs/>
          <w:sz w:val="24"/>
          <w:szCs w:val="24"/>
        </w:rPr>
        <w:lastRenderedPageBreak/>
        <w:t>Progn</w:t>
      </w:r>
      <w:r w:rsidR="006C7DF5" w:rsidRPr="00D319CD">
        <w:rPr>
          <w:rFonts w:ascii="Times New Roman" w:hAnsi="Times New Roman" w:cs="Times New Roman"/>
          <w:b/>
          <w:bCs/>
          <w:sz w:val="24"/>
          <w:szCs w:val="24"/>
        </w:rPr>
        <w:t>oza kosztów na 2023</w:t>
      </w:r>
      <w:r w:rsidRPr="00D319CD">
        <w:rPr>
          <w:rFonts w:ascii="Times New Roman" w:hAnsi="Times New Roman" w:cs="Times New Roman"/>
          <w:b/>
          <w:bCs/>
          <w:sz w:val="24"/>
          <w:szCs w:val="24"/>
        </w:rPr>
        <w:t xml:space="preserve"> rok</w:t>
      </w:r>
      <w:r w:rsidRPr="006367DF">
        <w:rPr>
          <w:rFonts w:ascii="Times New Roman" w:hAnsi="Times New Roman" w:cs="Times New Roman"/>
          <w:b/>
          <w:bCs/>
          <w:sz w:val="24"/>
          <w:szCs w:val="24"/>
        </w:rPr>
        <w:t xml:space="preserve"> </w:t>
      </w:r>
      <w:r w:rsidRPr="006367DF">
        <w:rPr>
          <w:rFonts w:ascii="Times New Roman" w:hAnsi="Times New Roman" w:cs="Times New Roman"/>
          <w:sz w:val="24"/>
          <w:szCs w:val="24"/>
        </w:rPr>
        <w:t>i lata następne została oparta na przyjętym planie fina</w:t>
      </w:r>
      <w:r w:rsidR="00442F4F">
        <w:rPr>
          <w:rFonts w:ascii="Times New Roman" w:hAnsi="Times New Roman" w:cs="Times New Roman"/>
          <w:sz w:val="24"/>
          <w:szCs w:val="24"/>
        </w:rPr>
        <w:t>nsowym na ten rok</w:t>
      </w:r>
      <w:r w:rsidR="00FC4823">
        <w:rPr>
          <w:rFonts w:ascii="Times New Roman" w:hAnsi="Times New Roman" w:cs="Times New Roman"/>
          <w:sz w:val="24"/>
          <w:szCs w:val="24"/>
        </w:rPr>
        <w:t xml:space="preserve">. Prognozowanych kosztach </w:t>
      </w:r>
      <w:r w:rsidR="00FC4823" w:rsidRPr="00FC4823">
        <w:rPr>
          <w:rFonts w:ascii="Times New Roman" w:hAnsi="Times New Roman" w:cs="Times New Roman"/>
          <w:sz w:val="24"/>
        </w:rPr>
        <w:t>przyjęto, że inflacja osiągnie swój tegoroczny szczyt, aby następnie wyhamowywać w dalszej części 2023 r. Niepewność co do prognoz w tym zakresie pozostaje jednak wysoka i zależy w największym stopniu od cen żywności i surowców energetycznych w przyszłym roku. Przy założeniu braku nowych szoków podażowych na rynku żywnościowym i energetycznym inflacja CPI w 2023 r. wyniesie 9,8% w ujęciu średniorocznym. Dynamika cen energii będzie nadal utrzymywać się na podwyższonym poziomie, jednak niższym niż w bieżącym roku. Jednocześnie, inflacja bazowa powinna się stopniowo obniżać. Spadkowi cen w przyszłym roku będzie sprzyjać spadek popytu związany z osłabianiem się wzrostu gospodarczego oraz opóźnione oddziaływanie bardziej restrykcyjnej polityki monetarnej. Duża rozpiętość prognoz różnych instytucji sygnalizuje znaczącą skalę niepewności co do kształtowania się inflacji w 2023 r. Niepewność ta wynika m.in. z wojny w Ukrainie i kształtowania się cen surowców energetycznych</w:t>
      </w:r>
      <w:r w:rsidR="00FC4823">
        <w:rPr>
          <w:rFonts w:ascii="Times New Roman" w:hAnsi="Times New Roman" w:cs="Times New Roman"/>
          <w:sz w:val="24"/>
        </w:rPr>
        <w:t>.</w:t>
      </w:r>
    </w:p>
    <w:p w:rsidR="00D319CD" w:rsidRPr="00FE61D7" w:rsidRDefault="00D319CD" w:rsidP="00FE61D7">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Lata 2024-2026 w</w:t>
      </w:r>
      <w:r w:rsidRPr="00D319CD">
        <w:rPr>
          <w:rFonts w:ascii="Times New Roman" w:hAnsi="Times New Roman" w:cs="Times New Roman"/>
          <w:sz w:val="24"/>
          <w:szCs w:val="24"/>
        </w:rPr>
        <w:t xml:space="preserve"> scenariuszu makroekonomicznym założono stabilizację wzrostu gospodarczego w najbliższym otoczeniu gospodarczym Polski – państwach Unii Europejskiej – na poziomie z lat przed pandemią. W efekcie oczekuje się również stabilizacji udziału eksportu w PKB na poziomie ok. 59-60%. W 2024 i 2025 r. przewidywane jest odbicie tempa wzrostu gospodarczego po jego spowolnieniu w 2023 r. </w:t>
      </w:r>
      <w:r>
        <w:rPr>
          <w:rFonts w:ascii="Times New Roman" w:hAnsi="Times New Roman" w:cs="Times New Roman"/>
          <w:sz w:val="24"/>
          <w:szCs w:val="24"/>
        </w:rPr>
        <w:t xml:space="preserve">oraz </w:t>
      </w:r>
      <w:r w:rsidRPr="00D319CD">
        <w:rPr>
          <w:rFonts w:ascii="Times New Roman" w:hAnsi="Times New Roman" w:cs="Times New Roman"/>
          <w:sz w:val="24"/>
          <w:szCs w:val="24"/>
        </w:rPr>
        <w:t xml:space="preserve">obniżek stóp </w:t>
      </w:r>
      <w:r>
        <w:rPr>
          <w:rFonts w:ascii="Times New Roman" w:hAnsi="Times New Roman" w:cs="Times New Roman"/>
          <w:sz w:val="24"/>
          <w:szCs w:val="24"/>
        </w:rPr>
        <w:t>procentowych w latach 2023-2024 i</w:t>
      </w:r>
      <w:r w:rsidRPr="00D319CD">
        <w:rPr>
          <w:rFonts w:ascii="Times New Roman" w:hAnsi="Times New Roman" w:cs="Times New Roman"/>
          <w:sz w:val="24"/>
          <w:szCs w:val="24"/>
        </w:rPr>
        <w:t xml:space="preserve"> </w:t>
      </w:r>
      <w:r>
        <w:rPr>
          <w:rFonts w:ascii="Times New Roman" w:hAnsi="Times New Roman" w:cs="Times New Roman"/>
          <w:sz w:val="24"/>
          <w:szCs w:val="24"/>
        </w:rPr>
        <w:t xml:space="preserve">nastąpi </w:t>
      </w:r>
      <w:r w:rsidRPr="00D319CD">
        <w:rPr>
          <w:rFonts w:ascii="Times New Roman" w:hAnsi="Times New Roman" w:cs="Times New Roman"/>
          <w:sz w:val="24"/>
          <w:szCs w:val="24"/>
        </w:rPr>
        <w:t>wyraźny spadek inflacji.</w:t>
      </w:r>
    </w:p>
    <w:p w:rsidR="000464A9" w:rsidRDefault="000464A9" w:rsidP="00BD4CEE">
      <w:pPr>
        <w:spacing w:after="0" w:line="240" w:lineRule="auto"/>
        <w:jc w:val="both"/>
        <w:rPr>
          <w:rFonts w:ascii="Times New Roman" w:hAnsi="Times New Roman" w:cs="Times New Roman"/>
          <w:b/>
          <w:sz w:val="24"/>
          <w:szCs w:val="24"/>
        </w:rPr>
      </w:pPr>
    </w:p>
    <w:p w:rsidR="001E1158" w:rsidRDefault="001E1158" w:rsidP="002A2232">
      <w:pPr>
        <w:spacing w:after="0" w:line="240" w:lineRule="auto"/>
        <w:ind w:left="-426"/>
        <w:jc w:val="both"/>
        <w:rPr>
          <w:rFonts w:ascii="Times New Roman" w:hAnsi="Times New Roman" w:cs="Times New Roman"/>
          <w:b/>
          <w:sz w:val="24"/>
          <w:szCs w:val="24"/>
        </w:rPr>
      </w:pPr>
      <w:r w:rsidRPr="006367DF">
        <w:rPr>
          <w:rFonts w:ascii="Times New Roman" w:hAnsi="Times New Roman" w:cs="Times New Roman"/>
          <w:b/>
          <w:sz w:val="24"/>
          <w:szCs w:val="24"/>
        </w:rPr>
        <w:t>Założenia do prognozy przychodów i kosztów</w:t>
      </w:r>
    </w:p>
    <w:p w:rsidR="00ED4340" w:rsidRPr="00ED4340" w:rsidRDefault="00ED4340" w:rsidP="002A2232">
      <w:pPr>
        <w:spacing w:after="0" w:line="240" w:lineRule="auto"/>
        <w:ind w:left="-426"/>
        <w:jc w:val="both"/>
        <w:rPr>
          <w:rFonts w:ascii="Times New Roman" w:hAnsi="Times New Roman" w:cs="Times New Roman"/>
          <w:b/>
          <w:sz w:val="16"/>
          <w:szCs w:val="24"/>
        </w:rPr>
      </w:pPr>
    </w:p>
    <w:p w:rsidR="001E1158" w:rsidRPr="006367DF" w:rsidRDefault="001E1158" w:rsidP="002A2232">
      <w:pPr>
        <w:autoSpaceDE w:val="0"/>
        <w:autoSpaceDN w:val="0"/>
        <w:adjustRightInd w:val="0"/>
        <w:spacing w:after="0" w:line="240" w:lineRule="auto"/>
        <w:ind w:left="-425"/>
        <w:jc w:val="both"/>
        <w:rPr>
          <w:rFonts w:ascii="Times New Roman" w:eastAsiaTheme="minorEastAsia" w:hAnsi="Times New Roman" w:cs="Times New Roman"/>
          <w:kern w:val="24"/>
          <w:sz w:val="24"/>
          <w:szCs w:val="24"/>
        </w:rPr>
      </w:pPr>
      <w:r w:rsidRPr="006367DF">
        <w:rPr>
          <w:rFonts w:ascii="Times New Roman" w:hAnsi="Times New Roman" w:cs="Times New Roman"/>
          <w:sz w:val="24"/>
          <w:szCs w:val="24"/>
        </w:rPr>
        <w:tab/>
        <w:t>Podstawą określenia prognozowanych przycho</w:t>
      </w:r>
      <w:r w:rsidR="000A1177">
        <w:rPr>
          <w:rFonts w:ascii="Times New Roman" w:hAnsi="Times New Roman" w:cs="Times New Roman"/>
          <w:sz w:val="24"/>
          <w:szCs w:val="24"/>
        </w:rPr>
        <w:t>dów jest plan finansowy na 2023</w:t>
      </w:r>
      <w:r w:rsidRPr="006367DF">
        <w:rPr>
          <w:rFonts w:ascii="Times New Roman" w:hAnsi="Times New Roman" w:cs="Times New Roman"/>
          <w:sz w:val="24"/>
          <w:szCs w:val="24"/>
        </w:rPr>
        <w:t xml:space="preserve">r.                             </w:t>
      </w:r>
      <w:r w:rsidR="000A1177">
        <w:rPr>
          <w:rFonts w:ascii="Times New Roman" w:eastAsiaTheme="minorEastAsia" w:hAnsi="Times New Roman" w:cs="Times New Roman"/>
          <w:kern w:val="24"/>
          <w:sz w:val="24"/>
          <w:szCs w:val="24"/>
        </w:rPr>
        <w:t>d</w:t>
      </w:r>
      <w:r w:rsidRPr="006367DF">
        <w:rPr>
          <w:rFonts w:ascii="Times New Roman" w:eastAsiaTheme="minorEastAsia" w:hAnsi="Times New Roman" w:cs="Times New Roman"/>
          <w:kern w:val="24"/>
          <w:sz w:val="24"/>
          <w:szCs w:val="24"/>
        </w:rPr>
        <w:t xml:space="preserve">o </w:t>
      </w:r>
      <w:r w:rsidR="000A1177">
        <w:rPr>
          <w:rFonts w:ascii="Times New Roman" w:eastAsiaTheme="minorEastAsia" w:hAnsi="Times New Roman" w:cs="Times New Roman"/>
          <w:kern w:val="24"/>
          <w:sz w:val="24"/>
          <w:szCs w:val="24"/>
        </w:rPr>
        <w:t>prognozy przychodów na lata 2023</w:t>
      </w:r>
      <w:r w:rsidR="00BC4139" w:rsidRPr="006367DF">
        <w:rPr>
          <w:rFonts w:ascii="Times New Roman" w:eastAsiaTheme="minorEastAsia" w:hAnsi="Times New Roman" w:cs="Times New Roman"/>
          <w:kern w:val="24"/>
          <w:sz w:val="24"/>
          <w:szCs w:val="24"/>
        </w:rPr>
        <w:t>-202</w:t>
      </w:r>
      <w:r w:rsidR="000A1177">
        <w:rPr>
          <w:rFonts w:ascii="Times New Roman" w:eastAsiaTheme="minorEastAsia" w:hAnsi="Times New Roman" w:cs="Times New Roman"/>
          <w:kern w:val="24"/>
          <w:sz w:val="24"/>
          <w:szCs w:val="24"/>
        </w:rPr>
        <w:t>5</w:t>
      </w:r>
      <w:r w:rsidRPr="006367DF">
        <w:rPr>
          <w:rFonts w:ascii="Times New Roman" w:eastAsiaTheme="minorEastAsia" w:hAnsi="Times New Roman" w:cs="Times New Roman"/>
          <w:kern w:val="24"/>
          <w:sz w:val="24"/>
          <w:szCs w:val="24"/>
        </w:rPr>
        <w:t xml:space="preserve"> przyjęto, że zakres realizowanych świadczeń ze środków publicznych będzie obejmował wszystkie zakresy dotychczasowej działalności  podmiotu.  </w:t>
      </w:r>
    </w:p>
    <w:p w:rsidR="001E1158" w:rsidRPr="006367DF" w:rsidRDefault="001E1158" w:rsidP="002A2232">
      <w:pPr>
        <w:autoSpaceDE w:val="0"/>
        <w:autoSpaceDN w:val="0"/>
        <w:adjustRightInd w:val="0"/>
        <w:spacing w:after="0" w:line="240" w:lineRule="auto"/>
        <w:ind w:left="-425"/>
        <w:jc w:val="both"/>
        <w:rPr>
          <w:rFonts w:ascii="Times New Roman" w:eastAsiaTheme="minorEastAsia" w:hAnsi="Times New Roman" w:cs="Times New Roman"/>
          <w:kern w:val="24"/>
          <w:sz w:val="10"/>
          <w:szCs w:val="24"/>
        </w:rPr>
      </w:pPr>
    </w:p>
    <w:p w:rsidR="001E1158" w:rsidRPr="006367DF" w:rsidRDefault="001E1158" w:rsidP="002A2232">
      <w:pPr>
        <w:autoSpaceDE w:val="0"/>
        <w:autoSpaceDN w:val="0"/>
        <w:adjustRightInd w:val="0"/>
        <w:spacing w:after="0" w:line="240" w:lineRule="auto"/>
        <w:ind w:left="-425"/>
        <w:jc w:val="both"/>
        <w:rPr>
          <w:rFonts w:ascii="Times New Roman" w:eastAsiaTheme="minorEastAsia" w:hAnsi="Times New Roman" w:cs="Times New Roman"/>
          <w:kern w:val="24"/>
          <w:sz w:val="24"/>
          <w:szCs w:val="24"/>
        </w:rPr>
      </w:pPr>
      <w:r w:rsidRPr="006367DF">
        <w:rPr>
          <w:rFonts w:ascii="Times New Roman" w:eastAsiaTheme="minorEastAsia" w:hAnsi="Times New Roman" w:cs="Times New Roman"/>
          <w:kern w:val="24"/>
          <w:sz w:val="24"/>
          <w:szCs w:val="24"/>
        </w:rPr>
        <w:t>Wykaz umów na finansowanie świadczeń ze środków publicznych zawartych na dzień sporządzenia raportu:</w:t>
      </w:r>
    </w:p>
    <w:p w:rsidR="001E1158" w:rsidRPr="006367DF" w:rsidRDefault="001E1158" w:rsidP="002A2232">
      <w:pPr>
        <w:autoSpaceDE w:val="0"/>
        <w:autoSpaceDN w:val="0"/>
        <w:adjustRightInd w:val="0"/>
        <w:spacing w:after="0" w:line="240" w:lineRule="auto"/>
        <w:jc w:val="both"/>
        <w:rPr>
          <w:rFonts w:ascii="Times New Roman" w:eastAsiaTheme="minorEastAsia" w:hAnsi="Times New Roman" w:cs="Times New Roman"/>
          <w:kern w:val="24"/>
          <w:sz w:val="10"/>
          <w:szCs w:val="24"/>
        </w:rPr>
      </w:pPr>
    </w:p>
    <w:p w:rsidR="00B54D39" w:rsidRPr="002A01E0" w:rsidRDefault="00B72F90" w:rsidP="002A2232">
      <w:pPr>
        <w:autoSpaceDE w:val="0"/>
        <w:autoSpaceDN w:val="0"/>
        <w:adjustRightInd w:val="0"/>
        <w:spacing w:after="0" w:line="240" w:lineRule="auto"/>
        <w:ind w:left="-425"/>
        <w:jc w:val="both"/>
        <w:rPr>
          <w:rFonts w:ascii="Times New Roman" w:eastAsiaTheme="minorEastAsia" w:hAnsi="Times New Roman" w:cs="Times New Roman"/>
          <w:b/>
          <w:kern w:val="24"/>
          <w:sz w:val="24"/>
          <w:szCs w:val="24"/>
        </w:rPr>
      </w:pPr>
      <w:r w:rsidRPr="006367DF">
        <w:rPr>
          <w:rFonts w:ascii="Times New Roman" w:eastAsiaTheme="minorEastAsia" w:hAnsi="Times New Roman" w:cs="Times New Roman"/>
          <w:b/>
          <w:kern w:val="24"/>
          <w:sz w:val="24"/>
          <w:szCs w:val="24"/>
        </w:rPr>
        <w:t>Zachodnio</w:t>
      </w:r>
      <w:r w:rsidR="00993383">
        <w:rPr>
          <w:rFonts w:ascii="Times New Roman" w:eastAsiaTheme="minorEastAsia" w:hAnsi="Times New Roman" w:cs="Times New Roman"/>
          <w:b/>
          <w:kern w:val="24"/>
          <w:sz w:val="24"/>
          <w:szCs w:val="24"/>
        </w:rPr>
        <w:t>pomorski</w:t>
      </w:r>
      <w:r w:rsidRPr="006367DF">
        <w:rPr>
          <w:rFonts w:ascii="Times New Roman" w:eastAsiaTheme="minorEastAsia" w:hAnsi="Times New Roman" w:cs="Times New Roman"/>
          <w:b/>
          <w:kern w:val="24"/>
          <w:sz w:val="24"/>
          <w:szCs w:val="24"/>
        </w:rPr>
        <w:t xml:space="preserve"> Oddział Wojewódzki NFZ, rodzaj świad</w:t>
      </w:r>
      <w:r w:rsidR="007679BA" w:rsidRPr="006367DF">
        <w:rPr>
          <w:rFonts w:ascii="Times New Roman" w:eastAsiaTheme="minorEastAsia" w:hAnsi="Times New Roman" w:cs="Times New Roman"/>
          <w:b/>
          <w:kern w:val="24"/>
          <w:sz w:val="24"/>
          <w:szCs w:val="24"/>
        </w:rPr>
        <w:t>czeni</w:t>
      </w:r>
      <w:r w:rsidR="008366FE" w:rsidRPr="006367DF">
        <w:rPr>
          <w:rFonts w:ascii="Times New Roman" w:eastAsiaTheme="minorEastAsia" w:hAnsi="Times New Roman" w:cs="Times New Roman"/>
          <w:b/>
          <w:kern w:val="24"/>
          <w:sz w:val="24"/>
          <w:szCs w:val="24"/>
        </w:rPr>
        <w:t>a</w:t>
      </w:r>
      <w:r w:rsidR="007679BA" w:rsidRPr="006367DF">
        <w:rPr>
          <w:rFonts w:ascii="Times New Roman" w:eastAsiaTheme="minorEastAsia" w:hAnsi="Times New Roman" w:cs="Times New Roman"/>
          <w:b/>
          <w:kern w:val="24"/>
          <w:sz w:val="24"/>
          <w:szCs w:val="24"/>
        </w:rPr>
        <w:t xml:space="preserve">: Lecznictwo </w:t>
      </w:r>
      <w:r w:rsidR="00D85ECF">
        <w:rPr>
          <w:rFonts w:ascii="Times New Roman" w:eastAsiaTheme="minorEastAsia" w:hAnsi="Times New Roman" w:cs="Times New Roman"/>
          <w:b/>
          <w:kern w:val="24"/>
          <w:sz w:val="24"/>
          <w:szCs w:val="24"/>
        </w:rPr>
        <w:t>uzdrowiskowe od 01.03</w:t>
      </w:r>
      <w:r w:rsidR="00B63E12" w:rsidRPr="006367DF">
        <w:rPr>
          <w:rFonts w:ascii="Times New Roman" w:eastAsiaTheme="minorEastAsia" w:hAnsi="Times New Roman" w:cs="Times New Roman"/>
          <w:b/>
          <w:kern w:val="24"/>
          <w:sz w:val="24"/>
          <w:szCs w:val="24"/>
        </w:rPr>
        <w:t>.</w:t>
      </w:r>
      <w:r w:rsidR="001D5E66" w:rsidRPr="006367DF">
        <w:rPr>
          <w:rFonts w:ascii="Times New Roman" w:eastAsiaTheme="minorEastAsia" w:hAnsi="Times New Roman" w:cs="Times New Roman"/>
          <w:b/>
          <w:kern w:val="24"/>
          <w:sz w:val="24"/>
          <w:szCs w:val="24"/>
        </w:rPr>
        <w:t>2019</w:t>
      </w:r>
      <w:r w:rsidR="00B63E12" w:rsidRPr="006367DF">
        <w:rPr>
          <w:rFonts w:ascii="Times New Roman" w:eastAsiaTheme="minorEastAsia" w:hAnsi="Times New Roman" w:cs="Times New Roman"/>
          <w:b/>
          <w:kern w:val="24"/>
          <w:sz w:val="24"/>
          <w:szCs w:val="24"/>
        </w:rPr>
        <w:t xml:space="preserve"> </w:t>
      </w:r>
      <w:r w:rsidR="001D5E66" w:rsidRPr="006367DF">
        <w:rPr>
          <w:rFonts w:ascii="Times New Roman" w:eastAsiaTheme="minorEastAsia" w:hAnsi="Times New Roman" w:cs="Times New Roman"/>
          <w:b/>
          <w:kern w:val="24"/>
          <w:sz w:val="24"/>
          <w:szCs w:val="24"/>
        </w:rPr>
        <w:t>r. do 31.12.2023</w:t>
      </w:r>
      <w:r w:rsidR="00B63E12" w:rsidRPr="006367DF">
        <w:rPr>
          <w:rFonts w:ascii="Times New Roman" w:eastAsiaTheme="minorEastAsia" w:hAnsi="Times New Roman" w:cs="Times New Roman"/>
          <w:b/>
          <w:kern w:val="24"/>
          <w:sz w:val="24"/>
          <w:szCs w:val="24"/>
        </w:rPr>
        <w:t xml:space="preserve"> </w:t>
      </w:r>
      <w:r w:rsidR="007679BA" w:rsidRPr="006367DF">
        <w:rPr>
          <w:rFonts w:ascii="Times New Roman" w:eastAsiaTheme="minorEastAsia" w:hAnsi="Times New Roman" w:cs="Times New Roman"/>
          <w:b/>
          <w:kern w:val="24"/>
          <w:sz w:val="24"/>
          <w:szCs w:val="24"/>
        </w:rPr>
        <w:t>r.</w:t>
      </w:r>
    </w:p>
    <w:p w:rsidR="006573FD" w:rsidRPr="006367DF" w:rsidRDefault="000A1177" w:rsidP="002A2232">
      <w:pPr>
        <w:spacing w:after="0" w:line="240" w:lineRule="auto"/>
        <w:ind w:left="-425"/>
        <w:jc w:val="both"/>
        <w:rPr>
          <w:rFonts w:ascii="Times New Roman" w:hAnsi="Times New Roman" w:cs="Times New Roman"/>
          <w:color w:val="000000" w:themeColor="text1"/>
          <w:sz w:val="24"/>
          <w:szCs w:val="24"/>
        </w:rPr>
      </w:pPr>
      <w:r>
        <w:rPr>
          <w:rFonts w:ascii="Times New Roman" w:hAnsi="Times New Roman" w:cs="Times New Roman"/>
          <w:sz w:val="24"/>
          <w:szCs w:val="24"/>
        </w:rPr>
        <w:t>Prognoza przychodów na lata 2023-2025</w:t>
      </w:r>
      <w:r w:rsidR="00B54D39" w:rsidRPr="006367DF">
        <w:rPr>
          <w:rFonts w:ascii="Times New Roman" w:hAnsi="Times New Roman" w:cs="Times New Roman"/>
          <w:sz w:val="24"/>
          <w:szCs w:val="24"/>
        </w:rPr>
        <w:t xml:space="preserve">  w podstawowej opiece zdrowotnej została sporządzona wg zasad rozliczeń wynikających z obecnie obowiązującej umowy</w:t>
      </w:r>
      <w:r w:rsidR="00065065" w:rsidRPr="006367DF">
        <w:rPr>
          <w:rFonts w:ascii="Times New Roman" w:hAnsi="Times New Roman" w:cs="Times New Roman"/>
          <w:sz w:val="24"/>
          <w:szCs w:val="24"/>
        </w:rPr>
        <w:t>,</w:t>
      </w:r>
      <w:r w:rsidR="00B54D39" w:rsidRPr="006367DF">
        <w:rPr>
          <w:rFonts w:ascii="Times New Roman" w:hAnsi="Times New Roman" w:cs="Times New Roman"/>
          <w:color w:val="000000" w:themeColor="text1"/>
          <w:sz w:val="24"/>
          <w:szCs w:val="24"/>
        </w:rPr>
        <w:t xml:space="preserve"> założono realizację świadczeń zdrowotnych finansowanych ze środków publicznych na dotychczasowym poziomie</w:t>
      </w:r>
      <w:r w:rsidR="000C203D">
        <w:rPr>
          <w:rFonts w:ascii="Times New Roman" w:hAnsi="Times New Roman" w:cs="Times New Roman"/>
          <w:color w:val="000000" w:themeColor="text1"/>
          <w:sz w:val="24"/>
          <w:szCs w:val="24"/>
        </w:rPr>
        <w:t xml:space="preserve"> z uwzględnieniem inflacji.</w:t>
      </w:r>
      <w:r w:rsidR="00B54D39" w:rsidRPr="006367DF">
        <w:rPr>
          <w:rFonts w:ascii="Times New Roman" w:hAnsi="Times New Roman" w:cs="Times New Roman"/>
          <w:color w:val="000000" w:themeColor="text1"/>
          <w:sz w:val="24"/>
          <w:szCs w:val="24"/>
        </w:rPr>
        <w:t xml:space="preserve"> </w:t>
      </w:r>
    </w:p>
    <w:p w:rsidR="00844E64" w:rsidRDefault="00BC4139" w:rsidP="000C203D">
      <w:pPr>
        <w:spacing w:after="0" w:line="240" w:lineRule="auto"/>
        <w:ind w:left="-425"/>
        <w:jc w:val="both"/>
        <w:rPr>
          <w:rFonts w:ascii="Times New Roman" w:hAnsi="Times New Roman" w:cs="Times New Roman"/>
          <w:bCs/>
          <w:sz w:val="24"/>
          <w:szCs w:val="24"/>
        </w:rPr>
      </w:pPr>
      <w:r w:rsidRPr="006367DF">
        <w:rPr>
          <w:rFonts w:ascii="Times New Roman" w:hAnsi="Times New Roman" w:cs="Times New Roman"/>
          <w:bCs/>
          <w:sz w:val="24"/>
          <w:szCs w:val="24"/>
        </w:rPr>
        <w:t>Kwoty kosztów i wydatków ujęte w prognozie stanowią koszty i wydatki związane  z realizacją umów z płatnikiem publicznym oraz innych przychodów.</w:t>
      </w:r>
    </w:p>
    <w:p w:rsidR="00E461AA" w:rsidRPr="006367DF" w:rsidRDefault="00E461AA" w:rsidP="002A01E0">
      <w:pPr>
        <w:spacing w:after="0" w:line="360" w:lineRule="auto"/>
        <w:ind w:left="-425"/>
        <w:jc w:val="both"/>
        <w:rPr>
          <w:rFonts w:ascii="Times New Roman" w:hAnsi="Times New Roman" w:cs="Times New Roman"/>
          <w:bCs/>
          <w:sz w:val="24"/>
          <w:szCs w:val="24"/>
        </w:rPr>
      </w:pPr>
    </w:p>
    <w:tbl>
      <w:tblPr>
        <w:tblW w:w="9560" w:type="dxa"/>
        <w:tblInd w:w="58" w:type="dxa"/>
        <w:tblCellMar>
          <w:left w:w="70" w:type="dxa"/>
          <w:right w:w="70" w:type="dxa"/>
        </w:tblCellMar>
        <w:tblLook w:val="04A0"/>
      </w:tblPr>
      <w:tblGrid>
        <w:gridCol w:w="2260"/>
        <w:gridCol w:w="4060"/>
        <w:gridCol w:w="1880"/>
        <w:gridCol w:w="1360"/>
      </w:tblGrid>
      <w:tr w:rsidR="00E35792" w:rsidTr="00252ACA">
        <w:trPr>
          <w:trHeight w:val="807"/>
        </w:trPr>
        <w:tc>
          <w:tcPr>
            <w:tcW w:w="2260" w:type="dxa"/>
            <w:tcBorders>
              <w:top w:val="nil"/>
              <w:left w:val="nil"/>
              <w:bottom w:val="nil"/>
              <w:right w:val="nil"/>
            </w:tcBorders>
            <w:shd w:val="clear" w:color="auto" w:fill="auto"/>
            <w:vAlign w:val="center"/>
            <w:hideMark/>
          </w:tcPr>
          <w:p w:rsidR="00E35792" w:rsidRDefault="00E35792">
            <w:pPr>
              <w:rPr>
                <w:rFonts w:ascii="Arial" w:hAnsi="Arial" w:cs="Arial"/>
                <w:sz w:val="18"/>
                <w:szCs w:val="18"/>
              </w:rPr>
            </w:pPr>
            <w:proofErr w:type="spellStart"/>
            <w:r>
              <w:rPr>
                <w:rFonts w:ascii="Arial" w:hAnsi="Arial" w:cs="Arial"/>
                <w:sz w:val="18"/>
                <w:szCs w:val="18"/>
              </w:rPr>
              <w:t>Konsultant</w:t>
            </w:r>
            <w:proofErr w:type="spellEnd"/>
            <w:r>
              <w:rPr>
                <w:rFonts w:ascii="Arial" w:hAnsi="Arial" w:cs="Arial"/>
                <w:sz w:val="18"/>
                <w:szCs w:val="18"/>
              </w:rPr>
              <w:t xml:space="preserve"> - Wszelkie prawa zastrzeżone                                                                                                                                 Uprawniony do korzystania:</w:t>
            </w:r>
          </w:p>
        </w:tc>
        <w:tc>
          <w:tcPr>
            <w:tcW w:w="73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5792" w:rsidRDefault="00E35792">
            <w:pPr>
              <w:spacing w:after="240"/>
              <w:jc w:val="center"/>
              <w:rPr>
                <w:rFonts w:ascii="Arial" w:hAnsi="Arial" w:cs="Arial"/>
                <w:b/>
                <w:bCs/>
                <w:i/>
                <w:iCs/>
                <w:sz w:val="20"/>
                <w:szCs w:val="20"/>
              </w:rPr>
            </w:pPr>
            <w:r>
              <w:rPr>
                <w:rFonts w:ascii="Arial" w:hAnsi="Arial" w:cs="Arial"/>
                <w:b/>
                <w:bCs/>
                <w:i/>
                <w:iCs/>
                <w:sz w:val="20"/>
                <w:szCs w:val="20"/>
              </w:rPr>
              <w:t>Szpital Uzdrowiskowy "Willa Fortuna" w Kołobrzegu</w:t>
            </w:r>
          </w:p>
        </w:tc>
      </w:tr>
      <w:tr w:rsidR="00E35792" w:rsidTr="00252ACA">
        <w:trPr>
          <w:trHeight w:val="795"/>
        </w:trPr>
        <w:tc>
          <w:tcPr>
            <w:tcW w:w="9560" w:type="dxa"/>
            <w:gridSpan w:val="4"/>
            <w:tcBorders>
              <w:top w:val="nil"/>
              <w:left w:val="nil"/>
              <w:bottom w:val="single" w:sz="8" w:space="0" w:color="auto"/>
              <w:right w:val="nil"/>
            </w:tcBorders>
            <w:shd w:val="clear" w:color="000000" w:fill="FFFFFF"/>
            <w:vAlign w:val="center"/>
            <w:hideMark/>
          </w:tcPr>
          <w:p w:rsidR="00E35792" w:rsidRDefault="00E35792">
            <w:pPr>
              <w:jc w:val="center"/>
              <w:rPr>
                <w:rFonts w:ascii="Garamond" w:hAnsi="Garamond" w:cs="Arial"/>
                <w:b/>
                <w:bCs/>
              </w:rPr>
            </w:pPr>
            <w:r>
              <w:rPr>
                <w:rFonts w:ascii="Garamond" w:hAnsi="Garamond" w:cs="Arial"/>
                <w:b/>
                <w:bCs/>
              </w:rPr>
              <w:t xml:space="preserve">TABELA PODSUMOWUJĄCA WYNIKI OCENY SYTUACJI EKONOMICZNO-FINANSOWEJ                                             </w:t>
            </w:r>
            <w:r w:rsidR="000C203D">
              <w:rPr>
                <w:rFonts w:ascii="Garamond" w:hAnsi="Garamond" w:cs="Arial"/>
                <w:b/>
                <w:bCs/>
              </w:rPr>
              <w:t xml:space="preserve">                         za 2022</w:t>
            </w:r>
            <w:r>
              <w:rPr>
                <w:rFonts w:ascii="Garamond" w:hAnsi="Garamond" w:cs="Arial"/>
                <w:b/>
                <w:bCs/>
              </w:rPr>
              <w:t xml:space="preserve">  rok</w:t>
            </w:r>
          </w:p>
        </w:tc>
      </w:tr>
      <w:tr w:rsidR="00E35792" w:rsidTr="00252ACA">
        <w:trPr>
          <w:trHeight w:val="459"/>
        </w:trPr>
        <w:tc>
          <w:tcPr>
            <w:tcW w:w="2260" w:type="dxa"/>
            <w:vMerge w:val="restart"/>
            <w:tcBorders>
              <w:top w:val="nil"/>
              <w:left w:val="single" w:sz="8" w:space="0" w:color="auto"/>
              <w:bottom w:val="single" w:sz="8" w:space="0" w:color="000000"/>
              <w:right w:val="single" w:sz="8" w:space="0" w:color="auto"/>
            </w:tcBorders>
            <w:shd w:val="clear" w:color="000000" w:fill="FFCC00"/>
            <w:noWrap/>
            <w:vAlign w:val="center"/>
            <w:hideMark/>
          </w:tcPr>
          <w:p w:rsidR="00E35792" w:rsidRDefault="00E35792">
            <w:pPr>
              <w:jc w:val="center"/>
              <w:rPr>
                <w:rFonts w:ascii="Garamond" w:hAnsi="Garamond" w:cs="Arial"/>
                <w:sz w:val="20"/>
                <w:szCs w:val="20"/>
              </w:rPr>
            </w:pPr>
            <w:r>
              <w:rPr>
                <w:rFonts w:ascii="Garamond" w:hAnsi="Garamond" w:cs="Arial"/>
                <w:sz w:val="20"/>
                <w:szCs w:val="20"/>
              </w:rPr>
              <w:t>Grupa</w:t>
            </w:r>
          </w:p>
        </w:tc>
        <w:tc>
          <w:tcPr>
            <w:tcW w:w="4060" w:type="dxa"/>
            <w:vMerge w:val="restart"/>
            <w:tcBorders>
              <w:top w:val="nil"/>
              <w:left w:val="single" w:sz="8" w:space="0" w:color="auto"/>
              <w:bottom w:val="single" w:sz="8" w:space="0" w:color="000000"/>
              <w:right w:val="nil"/>
            </w:tcBorders>
            <w:shd w:val="clear" w:color="000000" w:fill="FFCC00"/>
            <w:vAlign w:val="center"/>
            <w:hideMark/>
          </w:tcPr>
          <w:p w:rsidR="00E35792" w:rsidRDefault="00E35792">
            <w:pPr>
              <w:jc w:val="center"/>
              <w:rPr>
                <w:rFonts w:ascii="Garamond" w:hAnsi="Garamond" w:cs="Arial"/>
              </w:rPr>
            </w:pPr>
            <w:r>
              <w:rPr>
                <w:rFonts w:ascii="Garamond" w:hAnsi="Garamond" w:cs="Arial"/>
              </w:rPr>
              <w:t>Wskaźniki</w:t>
            </w:r>
          </w:p>
        </w:tc>
        <w:tc>
          <w:tcPr>
            <w:tcW w:w="1880" w:type="dxa"/>
            <w:vMerge w:val="restart"/>
            <w:tcBorders>
              <w:top w:val="nil"/>
              <w:left w:val="single" w:sz="8" w:space="0" w:color="auto"/>
              <w:bottom w:val="single" w:sz="8" w:space="0" w:color="000000"/>
              <w:right w:val="single" w:sz="4" w:space="0" w:color="auto"/>
            </w:tcBorders>
            <w:shd w:val="clear" w:color="000000" w:fill="FFCC00"/>
            <w:vAlign w:val="center"/>
            <w:hideMark/>
          </w:tcPr>
          <w:p w:rsidR="00E35792" w:rsidRDefault="00E35792">
            <w:pPr>
              <w:jc w:val="center"/>
              <w:rPr>
                <w:rFonts w:ascii="Garamond" w:hAnsi="Garamond" w:cs="Arial"/>
                <w:sz w:val="18"/>
                <w:szCs w:val="18"/>
              </w:rPr>
            </w:pPr>
            <w:r>
              <w:rPr>
                <w:rFonts w:ascii="Garamond" w:hAnsi="Garamond" w:cs="Arial"/>
                <w:sz w:val="18"/>
                <w:szCs w:val="18"/>
              </w:rPr>
              <w:t xml:space="preserve">Wartość wskaźnika </w:t>
            </w:r>
          </w:p>
        </w:tc>
        <w:tc>
          <w:tcPr>
            <w:tcW w:w="1360" w:type="dxa"/>
            <w:vMerge w:val="restart"/>
            <w:tcBorders>
              <w:top w:val="nil"/>
              <w:left w:val="nil"/>
              <w:bottom w:val="single" w:sz="8" w:space="0" w:color="000000"/>
              <w:right w:val="single" w:sz="8" w:space="0" w:color="auto"/>
            </w:tcBorders>
            <w:shd w:val="clear" w:color="000000" w:fill="FFCC00"/>
            <w:vAlign w:val="center"/>
            <w:hideMark/>
          </w:tcPr>
          <w:p w:rsidR="00E35792" w:rsidRDefault="00E35792">
            <w:pPr>
              <w:jc w:val="center"/>
              <w:rPr>
                <w:rFonts w:ascii="Garamond" w:hAnsi="Garamond" w:cs="Arial"/>
                <w:sz w:val="18"/>
                <w:szCs w:val="18"/>
              </w:rPr>
            </w:pPr>
            <w:r>
              <w:rPr>
                <w:rFonts w:ascii="Garamond" w:hAnsi="Garamond" w:cs="Arial"/>
                <w:sz w:val="18"/>
                <w:szCs w:val="18"/>
              </w:rPr>
              <w:t>Ocena uzyskana</w:t>
            </w:r>
          </w:p>
        </w:tc>
      </w:tr>
      <w:tr w:rsidR="00E35792" w:rsidTr="00252ACA">
        <w:trPr>
          <w:trHeight w:val="459"/>
        </w:trPr>
        <w:tc>
          <w:tcPr>
            <w:tcW w:w="2260" w:type="dxa"/>
            <w:vMerge/>
            <w:tcBorders>
              <w:top w:val="nil"/>
              <w:left w:val="single" w:sz="8" w:space="0" w:color="auto"/>
              <w:bottom w:val="single" w:sz="8" w:space="0" w:color="000000"/>
              <w:right w:val="single" w:sz="8" w:space="0" w:color="auto"/>
            </w:tcBorders>
            <w:vAlign w:val="center"/>
            <w:hideMark/>
          </w:tcPr>
          <w:p w:rsidR="00E35792" w:rsidRDefault="00E35792">
            <w:pPr>
              <w:rPr>
                <w:rFonts w:ascii="Garamond" w:hAnsi="Garamond" w:cs="Arial"/>
                <w:sz w:val="20"/>
                <w:szCs w:val="20"/>
              </w:rPr>
            </w:pPr>
          </w:p>
        </w:tc>
        <w:tc>
          <w:tcPr>
            <w:tcW w:w="4060" w:type="dxa"/>
            <w:vMerge/>
            <w:tcBorders>
              <w:top w:val="nil"/>
              <w:left w:val="single" w:sz="8" w:space="0" w:color="auto"/>
              <w:bottom w:val="single" w:sz="8" w:space="0" w:color="000000"/>
              <w:right w:val="nil"/>
            </w:tcBorders>
            <w:vAlign w:val="center"/>
            <w:hideMark/>
          </w:tcPr>
          <w:p w:rsidR="00E35792" w:rsidRDefault="00E35792">
            <w:pPr>
              <w:rPr>
                <w:rFonts w:ascii="Garamond" w:hAnsi="Garamond" w:cs="Arial"/>
              </w:rPr>
            </w:pPr>
          </w:p>
        </w:tc>
        <w:tc>
          <w:tcPr>
            <w:tcW w:w="1880" w:type="dxa"/>
            <w:vMerge/>
            <w:tcBorders>
              <w:top w:val="nil"/>
              <w:left w:val="single" w:sz="8" w:space="0" w:color="auto"/>
              <w:bottom w:val="single" w:sz="8" w:space="0" w:color="000000"/>
              <w:right w:val="single" w:sz="4" w:space="0" w:color="auto"/>
            </w:tcBorders>
            <w:vAlign w:val="center"/>
            <w:hideMark/>
          </w:tcPr>
          <w:p w:rsidR="00E35792" w:rsidRDefault="00E35792">
            <w:pPr>
              <w:rPr>
                <w:rFonts w:ascii="Garamond" w:hAnsi="Garamond" w:cs="Arial"/>
                <w:sz w:val="18"/>
                <w:szCs w:val="18"/>
              </w:rPr>
            </w:pPr>
          </w:p>
        </w:tc>
        <w:tc>
          <w:tcPr>
            <w:tcW w:w="1360" w:type="dxa"/>
            <w:vMerge/>
            <w:tcBorders>
              <w:top w:val="nil"/>
              <w:left w:val="nil"/>
              <w:bottom w:val="single" w:sz="8" w:space="0" w:color="000000"/>
              <w:right w:val="single" w:sz="8" w:space="0" w:color="auto"/>
            </w:tcBorders>
            <w:vAlign w:val="center"/>
            <w:hideMark/>
          </w:tcPr>
          <w:p w:rsidR="00E35792" w:rsidRDefault="00E35792">
            <w:pPr>
              <w:rPr>
                <w:rFonts w:ascii="Garamond" w:hAnsi="Garamond" w:cs="Arial"/>
                <w:sz w:val="18"/>
                <w:szCs w:val="18"/>
              </w:rPr>
            </w:pPr>
          </w:p>
        </w:tc>
      </w:tr>
      <w:tr w:rsidR="00E35792" w:rsidTr="00E461AA">
        <w:trPr>
          <w:trHeight w:val="618"/>
        </w:trPr>
        <w:tc>
          <w:tcPr>
            <w:tcW w:w="2260" w:type="dxa"/>
            <w:vMerge w:val="restart"/>
            <w:tcBorders>
              <w:top w:val="nil"/>
              <w:left w:val="single" w:sz="8" w:space="0" w:color="auto"/>
              <w:bottom w:val="single" w:sz="8" w:space="0" w:color="000000"/>
              <w:right w:val="single" w:sz="8" w:space="0" w:color="auto"/>
            </w:tcBorders>
            <w:shd w:val="clear" w:color="000000" w:fill="969696"/>
            <w:vAlign w:val="center"/>
            <w:hideMark/>
          </w:tcPr>
          <w:p w:rsidR="00E35792" w:rsidRDefault="00E35792">
            <w:pPr>
              <w:jc w:val="center"/>
              <w:rPr>
                <w:rFonts w:ascii="Garamond" w:hAnsi="Garamond" w:cs="Arial"/>
                <w:b/>
                <w:bCs/>
                <w:sz w:val="20"/>
                <w:szCs w:val="20"/>
              </w:rPr>
            </w:pPr>
            <w:r>
              <w:rPr>
                <w:rFonts w:ascii="Garamond" w:hAnsi="Garamond" w:cs="Arial"/>
                <w:b/>
                <w:bCs/>
                <w:sz w:val="20"/>
                <w:szCs w:val="20"/>
              </w:rPr>
              <w:t>I. WSKAŹNIKI ZYSKOWNOŚCI</w:t>
            </w:r>
          </w:p>
        </w:tc>
        <w:tc>
          <w:tcPr>
            <w:tcW w:w="4060" w:type="dxa"/>
            <w:tcBorders>
              <w:top w:val="nil"/>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 xml:space="preserve">Wskaźnik zyskowności  netto  (%)                                                           </w:t>
            </w:r>
          </w:p>
        </w:tc>
        <w:tc>
          <w:tcPr>
            <w:tcW w:w="1880" w:type="dxa"/>
            <w:tcBorders>
              <w:top w:val="nil"/>
              <w:left w:val="single" w:sz="8" w:space="0" w:color="auto"/>
              <w:bottom w:val="single" w:sz="4" w:space="0" w:color="auto"/>
              <w:right w:val="single" w:sz="4" w:space="0" w:color="auto"/>
            </w:tcBorders>
            <w:shd w:val="clear" w:color="auto" w:fill="auto"/>
            <w:noWrap/>
            <w:vAlign w:val="center"/>
            <w:hideMark/>
          </w:tcPr>
          <w:p w:rsidR="00E35792" w:rsidRDefault="000C203D">
            <w:pPr>
              <w:jc w:val="center"/>
              <w:rPr>
                <w:rFonts w:ascii="Garamond" w:hAnsi="Garamond" w:cs="Arial"/>
              </w:rPr>
            </w:pPr>
            <w:r>
              <w:rPr>
                <w:rFonts w:ascii="Garamond" w:hAnsi="Garamond" w:cs="Arial"/>
              </w:rPr>
              <w:t>9,11</w:t>
            </w:r>
            <w:r w:rsidR="00E35792">
              <w:rPr>
                <w:rFonts w:ascii="Garamond" w:hAnsi="Garamond" w:cs="Arial"/>
              </w:rPr>
              <w:t>%</w:t>
            </w:r>
          </w:p>
        </w:tc>
        <w:tc>
          <w:tcPr>
            <w:tcW w:w="1360" w:type="dxa"/>
            <w:tcBorders>
              <w:top w:val="nil"/>
              <w:left w:val="nil"/>
              <w:bottom w:val="single" w:sz="4" w:space="0" w:color="auto"/>
              <w:right w:val="single" w:sz="8" w:space="0" w:color="auto"/>
            </w:tcBorders>
            <w:shd w:val="clear" w:color="000000" w:fill="FFFFFF"/>
            <w:noWrap/>
            <w:vAlign w:val="center"/>
            <w:hideMark/>
          </w:tcPr>
          <w:p w:rsidR="00E35792" w:rsidRDefault="00E35792">
            <w:pPr>
              <w:jc w:val="center"/>
              <w:rPr>
                <w:rFonts w:ascii="Garamond" w:hAnsi="Garamond" w:cs="Arial"/>
              </w:rPr>
            </w:pPr>
            <w:r>
              <w:rPr>
                <w:rFonts w:ascii="Garamond" w:hAnsi="Garamond" w:cs="Arial"/>
              </w:rPr>
              <w:t>5</w:t>
            </w:r>
          </w:p>
        </w:tc>
      </w:tr>
      <w:tr w:rsidR="00E35792" w:rsidTr="00E461AA">
        <w:trPr>
          <w:trHeight w:val="757"/>
        </w:trPr>
        <w:tc>
          <w:tcPr>
            <w:tcW w:w="2260" w:type="dxa"/>
            <w:vMerge/>
            <w:tcBorders>
              <w:top w:val="nil"/>
              <w:left w:val="single" w:sz="8" w:space="0" w:color="auto"/>
              <w:bottom w:val="single" w:sz="8" w:space="0" w:color="000000"/>
              <w:right w:val="single" w:sz="8" w:space="0" w:color="auto"/>
            </w:tcBorders>
            <w:vAlign w:val="center"/>
            <w:hideMark/>
          </w:tcPr>
          <w:p w:rsidR="00E35792" w:rsidRDefault="00E35792">
            <w:pPr>
              <w:rPr>
                <w:rFonts w:ascii="Garamond" w:hAnsi="Garamond" w:cs="Arial"/>
                <w:b/>
                <w:bCs/>
                <w:sz w:val="20"/>
                <w:szCs w:val="20"/>
              </w:rPr>
            </w:pPr>
          </w:p>
        </w:tc>
        <w:tc>
          <w:tcPr>
            <w:tcW w:w="4060" w:type="dxa"/>
            <w:tcBorders>
              <w:top w:val="nil"/>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 xml:space="preserve">Wskaźnik zyskowności działalności operacyjnej (%)            </w:t>
            </w:r>
          </w:p>
        </w:tc>
        <w:tc>
          <w:tcPr>
            <w:tcW w:w="1880" w:type="dxa"/>
            <w:tcBorders>
              <w:top w:val="nil"/>
              <w:left w:val="single" w:sz="8" w:space="0" w:color="auto"/>
              <w:bottom w:val="single" w:sz="4" w:space="0" w:color="auto"/>
              <w:right w:val="single" w:sz="4" w:space="0" w:color="auto"/>
            </w:tcBorders>
            <w:shd w:val="clear" w:color="auto" w:fill="auto"/>
            <w:vAlign w:val="center"/>
            <w:hideMark/>
          </w:tcPr>
          <w:p w:rsidR="00E35792" w:rsidRDefault="000C203D">
            <w:pPr>
              <w:jc w:val="center"/>
              <w:rPr>
                <w:rFonts w:ascii="Garamond" w:hAnsi="Garamond" w:cs="Arial"/>
              </w:rPr>
            </w:pPr>
            <w:r>
              <w:rPr>
                <w:rFonts w:ascii="Garamond" w:hAnsi="Garamond" w:cs="Arial"/>
              </w:rPr>
              <w:t>8,96</w:t>
            </w:r>
            <w:r w:rsidR="00E35792">
              <w:rPr>
                <w:rFonts w:ascii="Garamond" w:hAnsi="Garamond" w:cs="Arial"/>
              </w:rPr>
              <w:t>%</w:t>
            </w:r>
          </w:p>
        </w:tc>
        <w:tc>
          <w:tcPr>
            <w:tcW w:w="1360" w:type="dxa"/>
            <w:tcBorders>
              <w:top w:val="nil"/>
              <w:left w:val="nil"/>
              <w:bottom w:val="single" w:sz="4" w:space="0" w:color="auto"/>
              <w:right w:val="single" w:sz="8" w:space="0" w:color="auto"/>
            </w:tcBorders>
            <w:shd w:val="clear" w:color="000000" w:fill="FFFFFF"/>
            <w:vAlign w:val="center"/>
            <w:hideMark/>
          </w:tcPr>
          <w:p w:rsidR="00E35792" w:rsidRDefault="00E35792">
            <w:pPr>
              <w:jc w:val="center"/>
              <w:rPr>
                <w:rFonts w:ascii="Garamond" w:hAnsi="Garamond" w:cs="Arial"/>
              </w:rPr>
            </w:pPr>
            <w:r>
              <w:rPr>
                <w:rFonts w:ascii="Garamond" w:hAnsi="Garamond" w:cs="Arial"/>
              </w:rPr>
              <w:t>5</w:t>
            </w:r>
          </w:p>
        </w:tc>
      </w:tr>
      <w:tr w:rsidR="00E35792" w:rsidTr="00E461AA">
        <w:trPr>
          <w:trHeight w:val="632"/>
        </w:trPr>
        <w:tc>
          <w:tcPr>
            <w:tcW w:w="2260" w:type="dxa"/>
            <w:vMerge/>
            <w:tcBorders>
              <w:top w:val="nil"/>
              <w:left w:val="single" w:sz="8" w:space="0" w:color="auto"/>
              <w:bottom w:val="single" w:sz="8" w:space="0" w:color="000000"/>
              <w:right w:val="single" w:sz="8" w:space="0" w:color="auto"/>
            </w:tcBorders>
            <w:vAlign w:val="center"/>
            <w:hideMark/>
          </w:tcPr>
          <w:p w:rsidR="00E35792" w:rsidRDefault="00E35792">
            <w:pPr>
              <w:rPr>
                <w:rFonts w:ascii="Garamond" w:hAnsi="Garamond" w:cs="Arial"/>
                <w:b/>
                <w:bCs/>
                <w:sz w:val="20"/>
                <w:szCs w:val="20"/>
              </w:rPr>
            </w:pPr>
          </w:p>
        </w:tc>
        <w:tc>
          <w:tcPr>
            <w:tcW w:w="4060" w:type="dxa"/>
            <w:tcBorders>
              <w:top w:val="nil"/>
              <w:left w:val="nil"/>
              <w:bottom w:val="nil"/>
              <w:right w:val="nil"/>
            </w:tcBorders>
            <w:shd w:val="clear" w:color="auto" w:fill="auto"/>
            <w:vAlign w:val="center"/>
            <w:hideMark/>
          </w:tcPr>
          <w:p w:rsidR="00E35792" w:rsidRDefault="00E35792">
            <w:pPr>
              <w:rPr>
                <w:rFonts w:ascii="Garamond" w:hAnsi="Garamond" w:cs="Arial"/>
              </w:rPr>
            </w:pPr>
            <w:r>
              <w:rPr>
                <w:rFonts w:ascii="Garamond" w:hAnsi="Garamond" w:cs="Arial"/>
              </w:rPr>
              <w:t>Wskaźnik zyskowność aktywów (%)</w:t>
            </w:r>
          </w:p>
        </w:tc>
        <w:tc>
          <w:tcPr>
            <w:tcW w:w="1880" w:type="dxa"/>
            <w:tcBorders>
              <w:top w:val="nil"/>
              <w:left w:val="single" w:sz="8" w:space="0" w:color="auto"/>
              <w:bottom w:val="nil"/>
              <w:right w:val="single" w:sz="4" w:space="0" w:color="auto"/>
            </w:tcBorders>
            <w:shd w:val="clear" w:color="000000" w:fill="FFFFFF"/>
            <w:vAlign w:val="center"/>
            <w:hideMark/>
          </w:tcPr>
          <w:p w:rsidR="00E35792" w:rsidRDefault="000C203D">
            <w:pPr>
              <w:jc w:val="center"/>
              <w:rPr>
                <w:rFonts w:ascii="Garamond" w:hAnsi="Garamond" w:cs="Arial"/>
                <w:color w:val="000000"/>
              </w:rPr>
            </w:pPr>
            <w:r>
              <w:rPr>
                <w:rFonts w:ascii="Garamond" w:hAnsi="Garamond" w:cs="Arial"/>
                <w:color w:val="000000"/>
              </w:rPr>
              <w:t>7,17</w:t>
            </w:r>
            <w:r w:rsidR="00E35792">
              <w:rPr>
                <w:rFonts w:ascii="Garamond" w:hAnsi="Garamond" w:cs="Arial"/>
                <w:color w:val="000000"/>
              </w:rPr>
              <w:t>%</w:t>
            </w:r>
          </w:p>
        </w:tc>
        <w:tc>
          <w:tcPr>
            <w:tcW w:w="1360" w:type="dxa"/>
            <w:tcBorders>
              <w:top w:val="nil"/>
              <w:left w:val="nil"/>
              <w:bottom w:val="nil"/>
              <w:right w:val="single" w:sz="8" w:space="0" w:color="auto"/>
            </w:tcBorders>
            <w:shd w:val="clear" w:color="000000" w:fill="FFFFFF"/>
            <w:vAlign w:val="center"/>
            <w:hideMark/>
          </w:tcPr>
          <w:p w:rsidR="00E35792" w:rsidRDefault="00E35792">
            <w:pPr>
              <w:jc w:val="center"/>
              <w:rPr>
                <w:rFonts w:ascii="Garamond" w:hAnsi="Garamond" w:cs="Arial"/>
              </w:rPr>
            </w:pPr>
            <w:r>
              <w:rPr>
                <w:rFonts w:ascii="Garamond" w:hAnsi="Garamond" w:cs="Arial"/>
              </w:rPr>
              <w:t>5</w:t>
            </w:r>
          </w:p>
        </w:tc>
      </w:tr>
      <w:tr w:rsidR="00E35792" w:rsidTr="00252ACA">
        <w:trPr>
          <w:trHeight w:val="495"/>
        </w:trPr>
        <w:tc>
          <w:tcPr>
            <w:tcW w:w="6320" w:type="dxa"/>
            <w:gridSpan w:val="2"/>
            <w:tcBorders>
              <w:top w:val="single" w:sz="8" w:space="0" w:color="auto"/>
              <w:left w:val="nil"/>
              <w:bottom w:val="nil"/>
              <w:right w:val="nil"/>
            </w:tcBorders>
            <w:shd w:val="clear" w:color="000000" w:fill="FFFFFF"/>
            <w:noWrap/>
            <w:vAlign w:val="center"/>
            <w:hideMark/>
          </w:tcPr>
          <w:p w:rsidR="00E35792" w:rsidRDefault="00E35792">
            <w:pPr>
              <w:rPr>
                <w:rFonts w:ascii="Garamond" w:hAnsi="Garamond" w:cs="Arial"/>
                <w:b/>
                <w:bCs/>
                <w:sz w:val="20"/>
                <w:szCs w:val="20"/>
              </w:rPr>
            </w:pPr>
            <w:r>
              <w:rPr>
                <w:rFonts w:ascii="Garamond" w:hAnsi="Garamond" w:cs="Arial"/>
                <w:b/>
                <w:bCs/>
                <w:sz w:val="20"/>
                <w:szCs w:val="20"/>
              </w:rPr>
              <w:t> </w:t>
            </w:r>
          </w:p>
        </w:tc>
        <w:tc>
          <w:tcPr>
            <w:tcW w:w="1880" w:type="dxa"/>
            <w:tcBorders>
              <w:top w:val="single" w:sz="8" w:space="0" w:color="auto"/>
              <w:left w:val="single" w:sz="8" w:space="0" w:color="auto"/>
              <w:bottom w:val="single" w:sz="8" w:space="0" w:color="auto"/>
              <w:right w:val="nil"/>
            </w:tcBorders>
            <w:shd w:val="clear" w:color="000000" w:fill="969696"/>
            <w:vAlign w:val="center"/>
            <w:hideMark/>
          </w:tcPr>
          <w:p w:rsidR="00E35792" w:rsidRDefault="00E35792">
            <w:pPr>
              <w:rPr>
                <w:rFonts w:ascii="Garamond" w:hAnsi="Garamond" w:cs="Arial"/>
                <w:b/>
                <w:bCs/>
                <w:color w:val="000000"/>
                <w:sz w:val="20"/>
                <w:szCs w:val="20"/>
              </w:rPr>
            </w:pPr>
            <w:r>
              <w:rPr>
                <w:rFonts w:ascii="Garamond" w:hAnsi="Garamond" w:cs="Arial"/>
                <w:b/>
                <w:bCs/>
                <w:color w:val="000000"/>
                <w:sz w:val="20"/>
                <w:szCs w:val="20"/>
              </w:rPr>
              <w:t>I. Razem</w:t>
            </w:r>
          </w:p>
        </w:tc>
        <w:tc>
          <w:tcPr>
            <w:tcW w:w="1360" w:type="dxa"/>
            <w:tcBorders>
              <w:top w:val="single" w:sz="8" w:space="0" w:color="auto"/>
              <w:left w:val="nil"/>
              <w:bottom w:val="single" w:sz="8" w:space="0" w:color="auto"/>
              <w:right w:val="single" w:sz="8" w:space="0" w:color="auto"/>
            </w:tcBorders>
            <w:shd w:val="clear" w:color="000000" w:fill="969696"/>
            <w:vAlign w:val="center"/>
            <w:hideMark/>
          </w:tcPr>
          <w:p w:rsidR="00E35792" w:rsidRDefault="00E35792">
            <w:pPr>
              <w:jc w:val="center"/>
              <w:rPr>
                <w:rFonts w:ascii="Garamond" w:hAnsi="Garamond" w:cs="Arial"/>
                <w:b/>
                <w:bCs/>
              </w:rPr>
            </w:pPr>
            <w:r>
              <w:rPr>
                <w:rFonts w:ascii="Garamond" w:hAnsi="Garamond" w:cs="Arial"/>
                <w:b/>
                <w:bCs/>
              </w:rPr>
              <w:t>15</w:t>
            </w:r>
          </w:p>
        </w:tc>
      </w:tr>
      <w:tr w:rsidR="00E35792" w:rsidTr="00E461AA">
        <w:trPr>
          <w:trHeight w:val="634"/>
        </w:trPr>
        <w:tc>
          <w:tcPr>
            <w:tcW w:w="226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35792" w:rsidRDefault="00E35792">
            <w:pPr>
              <w:jc w:val="center"/>
              <w:rPr>
                <w:rFonts w:ascii="Garamond" w:hAnsi="Garamond" w:cs="Arial"/>
                <w:b/>
                <w:bCs/>
                <w:sz w:val="20"/>
                <w:szCs w:val="20"/>
              </w:rPr>
            </w:pPr>
            <w:r>
              <w:rPr>
                <w:rFonts w:ascii="Garamond" w:hAnsi="Garamond" w:cs="Arial"/>
                <w:b/>
                <w:bCs/>
                <w:sz w:val="20"/>
                <w:szCs w:val="20"/>
              </w:rPr>
              <w:t>II. WSKAŹNIKI PŁYNNOŚCI</w:t>
            </w:r>
          </w:p>
        </w:tc>
        <w:tc>
          <w:tcPr>
            <w:tcW w:w="4060" w:type="dxa"/>
            <w:tcBorders>
              <w:top w:val="single" w:sz="8" w:space="0" w:color="auto"/>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 xml:space="preserve">Wskaźnik bieżącej płynności                                           </w:t>
            </w:r>
          </w:p>
        </w:tc>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5792" w:rsidRDefault="000C203D">
            <w:pPr>
              <w:jc w:val="center"/>
              <w:rPr>
                <w:rFonts w:ascii="Garamond" w:hAnsi="Garamond" w:cs="Arial"/>
              </w:rPr>
            </w:pPr>
            <w:r>
              <w:rPr>
                <w:rFonts w:ascii="Garamond" w:hAnsi="Garamond" w:cs="Arial"/>
              </w:rPr>
              <w:t>5,57</w:t>
            </w:r>
          </w:p>
        </w:tc>
        <w:tc>
          <w:tcPr>
            <w:tcW w:w="1360" w:type="dxa"/>
            <w:tcBorders>
              <w:top w:val="single" w:sz="8" w:space="0" w:color="auto"/>
              <w:left w:val="nil"/>
              <w:bottom w:val="single" w:sz="4" w:space="0" w:color="auto"/>
              <w:right w:val="single" w:sz="8" w:space="0" w:color="auto"/>
            </w:tcBorders>
            <w:shd w:val="clear" w:color="000000" w:fill="FFFFFF"/>
            <w:noWrap/>
            <w:vAlign w:val="center"/>
            <w:hideMark/>
          </w:tcPr>
          <w:p w:rsidR="00E35792" w:rsidRDefault="00E35792">
            <w:pPr>
              <w:jc w:val="center"/>
              <w:rPr>
                <w:rFonts w:ascii="Garamond" w:hAnsi="Garamond" w:cs="Arial"/>
              </w:rPr>
            </w:pPr>
            <w:r>
              <w:rPr>
                <w:rFonts w:ascii="Garamond" w:hAnsi="Garamond" w:cs="Arial"/>
              </w:rPr>
              <w:t>10</w:t>
            </w:r>
          </w:p>
        </w:tc>
      </w:tr>
      <w:tr w:rsidR="00E35792" w:rsidTr="00E461AA">
        <w:trPr>
          <w:trHeight w:val="558"/>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E35792" w:rsidRDefault="00E35792">
            <w:pPr>
              <w:rPr>
                <w:rFonts w:ascii="Garamond" w:hAnsi="Garamond" w:cs="Arial"/>
                <w:b/>
                <w:bCs/>
                <w:sz w:val="20"/>
                <w:szCs w:val="20"/>
              </w:rPr>
            </w:pPr>
          </w:p>
        </w:tc>
        <w:tc>
          <w:tcPr>
            <w:tcW w:w="4060" w:type="dxa"/>
            <w:tcBorders>
              <w:top w:val="nil"/>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Wskaźnik szybkiej płynności</w:t>
            </w:r>
          </w:p>
        </w:tc>
        <w:tc>
          <w:tcPr>
            <w:tcW w:w="1880" w:type="dxa"/>
            <w:tcBorders>
              <w:top w:val="nil"/>
              <w:left w:val="single" w:sz="8" w:space="0" w:color="auto"/>
              <w:bottom w:val="single" w:sz="8" w:space="0" w:color="auto"/>
              <w:right w:val="single" w:sz="4" w:space="0" w:color="auto"/>
            </w:tcBorders>
            <w:shd w:val="clear" w:color="000000" w:fill="FFFFFF"/>
            <w:vAlign w:val="center"/>
            <w:hideMark/>
          </w:tcPr>
          <w:p w:rsidR="00E35792" w:rsidRDefault="000C203D">
            <w:pPr>
              <w:jc w:val="center"/>
              <w:rPr>
                <w:rFonts w:ascii="Garamond" w:hAnsi="Garamond" w:cs="Arial"/>
                <w:color w:val="000000"/>
              </w:rPr>
            </w:pPr>
            <w:r>
              <w:rPr>
                <w:rFonts w:ascii="Garamond" w:hAnsi="Garamond" w:cs="Arial"/>
                <w:color w:val="000000"/>
              </w:rPr>
              <w:t>5,55</w:t>
            </w:r>
          </w:p>
        </w:tc>
        <w:tc>
          <w:tcPr>
            <w:tcW w:w="1360" w:type="dxa"/>
            <w:tcBorders>
              <w:top w:val="nil"/>
              <w:left w:val="nil"/>
              <w:bottom w:val="single" w:sz="8" w:space="0" w:color="auto"/>
              <w:right w:val="single" w:sz="8" w:space="0" w:color="auto"/>
            </w:tcBorders>
            <w:shd w:val="clear" w:color="000000" w:fill="FFFFFF"/>
            <w:vAlign w:val="center"/>
            <w:hideMark/>
          </w:tcPr>
          <w:p w:rsidR="00E35792" w:rsidRDefault="00E35792">
            <w:pPr>
              <w:jc w:val="center"/>
              <w:rPr>
                <w:rFonts w:ascii="Garamond" w:hAnsi="Garamond" w:cs="Arial"/>
              </w:rPr>
            </w:pPr>
            <w:r>
              <w:rPr>
                <w:rFonts w:ascii="Garamond" w:hAnsi="Garamond" w:cs="Arial"/>
              </w:rPr>
              <w:t>10</w:t>
            </w:r>
          </w:p>
        </w:tc>
      </w:tr>
      <w:tr w:rsidR="00E35792" w:rsidTr="00252ACA">
        <w:trPr>
          <w:trHeight w:val="540"/>
        </w:trPr>
        <w:tc>
          <w:tcPr>
            <w:tcW w:w="6320" w:type="dxa"/>
            <w:gridSpan w:val="2"/>
            <w:tcBorders>
              <w:top w:val="single" w:sz="8" w:space="0" w:color="auto"/>
              <w:left w:val="nil"/>
              <w:bottom w:val="nil"/>
              <w:right w:val="nil"/>
            </w:tcBorders>
            <w:shd w:val="clear" w:color="000000" w:fill="FFFFFF"/>
            <w:noWrap/>
            <w:vAlign w:val="center"/>
            <w:hideMark/>
          </w:tcPr>
          <w:p w:rsidR="00E35792" w:rsidRDefault="00E35792">
            <w:pPr>
              <w:rPr>
                <w:rFonts w:ascii="Garamond" w:hAnsi="Garamond" w:cs="Arial"/>
                <w:b/>
                <w:bCs/>
                <w:sz w:val="20"/>
                <w:szCs w:val="20"/>
              </w:rPr>
            </w:pPr>
            <w:r>
              <w:rPr>
                <w:rFonts w:ascii="Garamond" w:hAnsi="Garamond" w:cs="Arial"/>
                <w:b/>
                <w:bCs/>
                <w:sz w:val="20"/>
                <w:szCs w:val="20"/>
              </w:rPr>
              <w:t> </w:t>
            </w:r>
          </w:p>
        </w:tc>
        <w:tc>
          <w:tcPr>
            <w:tcW w:w="1880" w:type="dxa"/>
            <w:tcBorders>
              <w:top w:val="nil"/>
              <w:left w:val="single" w:sz="8" w:space="0" w:color="auto"/>
              <w:bottom w:val="single" w:sz="8" w:space="0" w:color="auto"/>
              <w:right w:val="nil"/>
            </w:tcBorders>
            <w:shd w:val="clear" w:color="000000" w:fill="969696"/>
            <w:vAlign w:val="center"/>
            <w:hideMark/>
          </w:tcPr>
          <w:p w:rsidR="00E35792" w:rsidRDefault="00E35792">
            <w:pPr>
              <w:rPr>
                <w:rFonts w:ascii="Garamond" w:hAnsi="Garamond" w:cs="Arial"/>
                <w:b/>
                <w:bCs/>
                <w:color w:val="000000"/>
                <w:sz w:val="20"/>
                <w:szCs w:val="20"/>
              </w:rPr>
            </w:pPr>
            <w:r>
              <w:rPr>
                <w:rFonts w:ascii="Garamond" w:hAnsi="Garamond" w:cs="Arial"/>
                <w:b/>
                <w:bCs/>
                <w:color w:val="000000"/>
                <w:sz w:val="20"/>
                <w:szCs w:val="20"/>
              </w:rPr>
              <w:t>II. Razem</w:t>
            </w:r>
          </w:p>
        </w:tc>
        <w:tc>
          <w:tcPr>
            <w:tcW w:w="1360" w:type="dxa"/>
            <w:tcBorders>
              <w:top w:val="nil"/>
              <w:left w:val="nil"/>
              <w:bottom w:val="single" w:sz="8" w:space="0" w:color="auto"/>
              <w:right w:val="single" w:sz="8" w:space="0" w:color="auto"/>
            </w:tcBorders>
            <w:shd w:val="clear" w:color="000000" w:fill="969696"/>
            <w:vAlign w:val="center"/>
            <w:hideMark/>
          </w:tcPr>
          <w:p w:rsidR="00E35792" w:rsidRDefault="00E35792">
            <w:pPr>
              <w:jc w:val="center"/>
              <w:rPr>
                <w:rFonts w:ascii="Garamond" w:hAnsi="Garamond" w:cs="Arial"/>
                <w:b/>
                <w:bCs/>
              </w:rPr>
            </w:pPr>
            <w:r>
              <w:rPr>
                <w:rFonts w:ascii="Garamond" w:hAnsi="Garamond" w:cs="Arial"/>
                <w:b/>
                <w:bCs/>
              </w:rPr>
              <w:t>20</w:t>
            </w:r>
          </w:p>
        </w:tc>
      </w:tr>
      <w:tr w:rsidR="00E35792" w:rsidTr="00E461AA">
        <w:trPr>
          <w:trHeight w:val="610"/>
        </w:trPr>
        <w:tc>
          <w:tcPr>
            <w:tcW w:w="226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35792" w:rsidRDefault="00E35792">
            <w:pPr>
              <w:jc w:val="center"/>
              <w:rPr>
                <w:rFonts w:ascii="Garamond" w:hAnsi="Garamond" w:cs="Arial"/>
                <w:b/>
                <w:bCs/>
                <w:sz w:val="20"/>
                <w:szCs w:val="20"/>
              </w:rPr>
            </w:pPr>
            <w:r>
              <w:rPr>
                <w:rFonts w:ascii="Garamond" w:hAnsi="Garamond" w:cs="Arial"/>
                <w:b/>
                <w:bCs/>
                <w:sz w:val="20"/>
                <w:szCs w:val="20"/>
              </w:rPr>
              <w:t>III. WSKAŹNIKI EFEKTYWNOŚCI</w:t>
            </w:r>
          </w:p>
        </w:tc>
        <w:tc>
          <w:tcPr>
            <w:tcW w:w="4060" w:type="dxa"/>
            <w:tcBorders>
              <w:top w:val="single" w:sz="8" w:space="0" w:color="auto"/>
              <w:left w:val="nil"/>
              <w:bottom w:val="single" w:sz="4" w:space="0" w:color="auto"/>
              <w:right w:val="single" w:sz="4" w:space="0" w:color="auto"/>
            </w:tcBorders>
            <w:shd w:val="clear" w:color="auto" w:fill="auto"/>
            <w:vAlign w:val="center"/>
            <w:hideMark/>
          </w:tcPr>
          <w:p w:rsidR="00E35792" w:rsidRDefault="00E35792">
            <w:pPr>
              <w:rPr>
                <w:rFonts w:ascii="Garamond" w:hAnsi="Garamond" w:cs="Arial"/>
              </w:rPr>
            </w:pPr>
            <w:r>
              <w:rPr>
                <w:rFonts w:ascii="Garamond" w:hAnsi="Garamond" w:cs="Arial"/>
              </w:rPr>
              <w:t xml:space="preserve">Wskaźnik rotacji należności (w dniach)                           </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rsidR="00E35792" w:rsidRDefault="000C203D">
            <w:pPr>
              <w:jc w:val="center"/>
              <w:rPr>
                <w:rFonts w:ascii="Garamond" w:hAnsi="Garamond" w:cs="Arial"/>
              </w:rPr>
            </w:pPr>
            <w:r>
              <w:rPr>
                <w:rFonts w:ascii="Garamond" w:hAnsi="Garamond" w:cs="Arial"/>
              </w:rPr>
              <w:t>1</w:t>
            </w:r>
          </w:p>
        </w:tc>
        <w:tc>
          <w:tcPr>
            <w:tcW w:w="1360" w:type="dxa"/>
            <w:tcBorders>
              <w:top w:val="single" w:sz="8" w:space="0" w:color="auto"/>
              <w:left w:val="nil"/>
              <w:bottom w:val="single" w:sz="4" w:space="0" w:color="auto"/>
              <w:right w:val="single" w:sz="8" w:space="0" w:color="auto"/>
            </w:tcBorders>
            <w:shd w:val="clear" w:color="000000" w:fill="FFFFFF"/>
            <w:noWrap/>
            <w:vAlign w:val="center"/>
            <w:hideMark/>
          </w:tcPr>
          <w:p w:rsidR="00E35792" w:rsidRDefault="00E35792">
            <w:pPr>
              <w:jc w:val="center"/>
              <w:rPr>
                <w:rFonts w:ascii="Garamond" w:hAnsi="Garamond" w:cs="Arial"/>
              </w:rPr>
            </w:pPr>
            <w:r>
              <w:rPr>
                <w:rFonts w:ascii="Garamond" w:hAnsi="Garamond" w:cs="Arial"/>
              </w:rPr>
              <w:t>3</w:t>
            </w:r>
          </w:p>
        </w:tc>
      </w:tr>
      <w:tr w:rsidR="00E35792" w:rsidTr="00E461AA">
        <w:trPr>
          <w:trHeight w:val="676"/>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E35792" w:rsidRDefault="00E35792">
            <w:pPr>
              <w:rPr>
                <w:rFonts w:ascii="Garamond" w:hAnsi="Garamond" w:cs="Arial"/>
                <w:b/>
                <w:bCs/>
                <w:sz w:val="20"/>
                <w:szCs w:val="20"/>
              </w:rPr>
            </w:pPr>
          </w:p>
        </w:tc>
        <w:tc>
          <w:tcPr>
            <w:tcW w:w="4060" w:type="dxa"/>
            <w:tcBorders>
              <w:top w:val="nil"/>
              <w:left w:val="nil"/>
              <w:bottom w:val="single" w:sz="4" w:space="0" w:color="auto"/>
              <w:right w:val="single" w:sz="4" w:space="0" w:color="auto"/>
            </w:tcBorders>
            <w:shd w:val="clear" w:color="auto" w:fill="auto"/>
            <w:vAlign w:val="center"/>
            <w:hideMark/>
          </w:tcPr>
          <w:p w:rsidR="00E35792" w:rsidRDefault="00E35792">
            <w:pPr>
              <w:rPr>
                <w:rFonts w:ascii="Garamond" w:hAnsi="Garamond" w:cs="Arial"/>
              </w:rPr>
            </w:pPr>
            <w:r>
              <w:rPr>
                <w:rFonts w:ascii="Garamond" w:hAnsi="Garamond" w:cs="Arial"/>
              </w:rPr>
              <w:t>Wskaźnik rotacji zobowiązań (w dniach)</w:t>
            </w:r>
          </w:p>
        </w:tc>
        <w:tc>
          <w:tcPr>
            <w:tcW w:w="1880" w:type="dxa"/>
            <w:tcBorders>
              <w:top w:val="nil"/>
              <w:left w:val="nil"/>
              <w:bottom w:val="single" w:sz="8" w:space="0" w:color="auto"/>
              <w:right w:val="single" w:sz="4" w:space="0" w:color="auto"/>
            </w:tcBorders>
            <w:shd w:val="clear" w:color="000000" w:fill="FFFFFF"/>
            <w:vAlign w:val="center"/>
            <w:hideMark/>
          </w:tcPr>
          <w:p w:rsidR="00E35792" w:rsidRDefault="000C203D">
            <w:pPr>
              <w:jc w:val="center"/>
              <w:rPr>
                <w:rFonts w:ascii="Garamond" w:hAnsi="Garamond" w:cs="Arial"/>
                <w:color w:val="000000"/>
              </w:rPr>
            </w:pPr>
            <w:r>
              <w:rPr>
                <w:rFonts w:ascii="Garamond" w:hAnsi="Garamond" w:cs="Arial"/>
                <w:color w:val="000000"/>
              </w:rPr>
              <w:t>4</w:t>
            </w:r>
          </w:p>
        </w:tc>
        <w:tc>
          <w:tcPr>
            <w:tcW w:w="1360" w:type="dxa"/>
            <w:tcBorders>
              <w:top w:val="nil"/>
              <w:left w:val="nil"/>
              <w:bottom w:val="single" w:sz="8" w:space="0" w:color="auto"/>
              <w:right w:val="single" w:sz="8" w:space="0" w:color="auto"/>
            </w:tcBorders>
            <w:shd w:val="clear" w:color="000000" w:fill="FFFFFF"/>
            <w:vAlign w:val="center"/>
            <w:hideMark/>
          </w:tcPr>
          <w:p w:rsidR="00E35792" w:rsidRDefault="00E35792">
            <w:pPr>
              <w:jc w:val="center"/>
              <w:rPr>
                <w:rFonts w:ascii="Garamond" w:hAnsi="Garamond" w:cs="Arial"/>
              </w:rPr>
            </w:pPr>
            <w:r>
              <w:rPr>
                <w:rFonts w:ascii="Garamond" w:hAnsi="Garamond" w:cs="Arial"/>
              </w:rPr>
              <w:t>7</w:t>
            </w:r>
          </w:p>
        </w:tc>
      </w:tr>
      <w:tr w:rsidR="00E35792" w:rsidTr="00252ACA">
        <w:trPr>
          <w:trHeight w:val="540"/>
        </w:trPr>
        <w:tc>
          <w:tcPr>
            <w:tcW w:w="6320" w:type="dxa"/>
            <w:gridSpan w:val="2"/>
            <w:tcBorders>
              <w:top w:val="single" w:sz="8" w:space="0" w:color="auto"/>
              <w:left w:val="nil"/>
              <w:bottom w:val="nil"/>
              <w:right w:val="single" w:sz="8" w:space="0" w:color="000000"/>
            </w:tcBorders>
            <w:shd w:val="clear" w:color="000000" w:fill="FFFFFF"/>
            <w:noWrap/>
            <w:vAlign w:val="center"/>
            <w:hideMark/>
          </w:tcPr>
          <w:p w:rsidR="00E35792" w:rsidRDefault="00E35792">
            <w:pPr>
              <w:rPr>
                <w:rFonts w:ascii="Garamond" w:hAnsi="Garamond" w:cs="Arial"/>
                <w:b/>
                <w:bCs/>
                <w:sz w:val="20"/>
                <w:szCs w:val="20"/>
              </w:rPr>
            </w:pPr>
            <w:r>
              <w:rPr>
                <w:rFonts w:ascii="Garamond" w:hAnsi="Garamond" w:cs="Arial"/>
                <w:b/>
                <w:bCs/>
                <w:sz w:val="20"/>
                <w:szCs w:val="20"/>
              </w:rPr>
              <w:t> </w:t>
            </w:r>
          </w:p>
        </w:tc>
        <w:tc>
          <w:tcPr>
            <w:tcW w:w="1880" w:type="dxa"/>
            <w:tcBorders>
              <w:top w:val="nil"/>
              <w:left w:val="nil"/>
              <w:bottom w:val="single" w:sz="8" w:space="0" w:color="auto"/>
              <w:right w:val="nil"/>
            </w:tcBorders>
            <w:shd w:val="clear" w:color="000000" w:fill="969696"/>
            <w:vAlign w:val="center"/>
            <w:hideMark/>
          </w:tcPr>
          <w:p w:rsidR="00E35792" w:rsidRDefault="00E35792">
            <w:pPr>
              <w:rPr>
                <w:rFonts w:ascii="Garamond" w:hAnsi="Garamond" w:cs="Arial"/>
                <w:b/>
                <w:bCs/>
                <w:color w:val="000000"/>
                <w:sz w:val="20"/>
                <w:szCs w:val="20"/>
              </w:rPr>
            </w:pPr>
            <w:r>
              <w:rPr>
                <w:rFonts w:ascii="Garamond" w:hAnsi="Garamond" w:cs="Arial"/>
                <w:b/>
                <w:bCs/>
                <w:color w:val="000000"/>
                <w:sz w:val="20"/>
                <w:szCs w:val="20"/>
              </w:rPr>
              <w:t>III. Razem</w:t>
            </w:r>
          </w:p>
        </w:tc>
        <w:tc>
          <w:tcPr>
            <w:tcW w:w="1360" w:type="dxa"/>
            <w:tcBorders>
              <w:top w:val="nil"/>
              <w:left w:val="nil"/>
              <w:bottom w:val="single" w:sz="8" w:space="0" w:color="auto"/>
              <w:right w:val="single" w:sz="8" w:space="0" w:color="auto"/>
            </w:tcBorders>
            <w:shd w:val="clear" w:color="000000" w:fill="969696"/>
            <w:vAlign w:val="center"/>
            <w:hideMark/>
          </w:tcPr>
          <w:p w:rsidR="00E35792" w:rsidRDefault="00E35792">
            <w:pPr>
              <w:jc w:val="center"/>
              <w:rPr>
                <w:rFonts w:ascii="Garamond" w:hAnsi="Garamond" w:cs="Arial"/>
                <w:b/>
                <w:bCs/>
              </w:rPr>
            </w:pPr>
            <w:r>
              <w:rPr>
                <w:rFonts w:ascii="Garamond" w:hAnsi="Garamond" w:cs="Arial"/>
                <w:b/>
                <w:bCs/>
              </w:rPr>
              <w:t>10</w:t>
            </w:r>
          </w:p>
        </w:tc>
      </w:tr>
      <w:tr w:rsidR="00E35792" w:rsidTr="00E461AA">
        <w:trPr>
          <w:trHeight w:val="616"/>
        </w:trPr>
        <w:tc>
          <w:tcPr>
            <w:tcW w:w="2260"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E35792" w:rsidRDefault="00E35792">
            <w:pPr>
              <w:jc w:val="center"/>
              <w:rPr>
                <w:rFonts w:ascii="Garamond" w:hAnsi="Garamond" w:cs="Arial"/>
                <w:b/>
                <w:bCs/>
                <w:sz w:val="20"/>
                <w:szCs w:val="20"/>
              </w:rPr>
            </w:pPr>
            <w:r>
              <w:rPr>
                <w:rFonts w:ascii="Garamond" w:hAnsi="Garamond" w:cs="Arial"/>
                <w:b/>
                <w:bCs/>
                <w:sz w:val="20"/>
                <w:szCs w:val="20"/>
              </w:rPr>
              <w:t>IV. WSKAŹNIKI ZADŁUŻENIA</w:t>
            </w:r>
          </w:p>
        </w:tc>
        <w:tc>
          <w:tcPr>
            <w:tcW w:w="4060" w:type="dxa"/>
            <w:tcBorders>
              <w:top w:val="single" w:sz="8" w:space="0" w:color="auto"/>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 xml:space="preserve">Wskaźnik zadłużenia aktywów (%)                          </w:t>
            </w:r>
          </w:p>
        </w:tc>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5792" w:rsidRDefault="000C203D">
            <w:pPr>
              <w:jc w:val="center"/>
              <w:rPr>
                <w:rFonts w:ascii="Garamond" w:hAnsi="Garamond" w:cs="Arial"/>
              </w:rPr>
            </w:pPr>
            <w:r>
              <w:rPr>
                <w:rFonts w:ascii="Garamond" w:hAnsi="Garamond" w:cs="Arial"/>
              </w:rPr>
              <w:t>11</w:t>
            </w:r>
            <w:r w:rsidR="00E35792">
              <w:rPr>
                <w:rFonts w:ascii="Garamond" w:hAnsi="Garamond" w:cs="Arial"/>
              </w:rPr>
              <w:t>%</w:t>
            </w:r>
          </w:p>
        </w:tc>
        <w:tc>
          <w:tcPr>
            <w:tcW w:w="1360" w:type="dxa"/>
            <w:tcBorders>
              <w:top w:val="single" w:sz="8" w:space="0" w:color="auto"/>
              <w:left w:val="nil"/>
              <w:bottom w:val="single" w:sz="4" w:space="0" w:color="auto"/>
              <w:right w:val="single" w:sz="8" w:space="0" w:color="auto"/>
            </w:tcBorders>
            <w:shd w:val="clear" w:color="000000" w:fill="FFFFFF"/>
            <w:noWrap/>
            <w:vAlign w:val="center"/>
            <w:hideMark/>
          </w:tcPr>
          <w:p w:rsidR="00E35792" w:rsidRDefault="00E35792">
            <w:pPr>
              <w:jc w:val="center"/>
              <w:rPr>
                <w:rFonts w:ascii="Garamond" w:hAnsi="Garamond" w:cs="Arial"/>
              </w:rPr>
            </w:pPr>
            <w:r>
              <w:rPr>
                <w:rFonts w:ascii="Garamond" w:hAnsi="Garamond" w:cs="Arial"/>
              </w:rPr>
              <w:t>10</w:t>
            </w:r>
          </w:p>
        </w:tc>
      </w:tr>
      <w:tr w:rsidR="00E35792" w:rsidTr="00E461AA">
        <w:trPr>
          <w:trHeight w:val="554"/>
        </w:trPr>
        <w:tc>
          <w:tcPr>
            <w:tcW w:w="2260" w:type="dxa"/>
            <w:vMerge/>
            <w:tcBorders>
              <w:top w:val="single" w:sz="8" w:space="0" w:color="auto"/>
              <w:left w:val="single" w:sz="8" w:space="0" w:color="auto"/>
              <w:bottom w:val="single" w:sz="8" w:space="0" w:color="000000"/>
              <w:right w:val="single" w:sz="8" w:space="0" w:color="auto"/>
            </w:tcBorders>
            <w:vAlign w:val="center"/>
            <w:hideMark/>
          </w:tcPr>
          <w:p w:rsidR="00E35792" w:rsidRDefault="00E35792">
            <w:pPr>
              <w:rPr>
                <w:rFonts w:ascii="Garamond" w:hAnsi="Garamond" w:cs="Arial"/>
                <w:b/>
                <w:bCs/>
                <w:sz w:val="20"/>
                <w:szCs w:val="20"/>
              </w:rPr>
            </w:pPr>
          </w:p>
        </w:tc>
        <w:tc>
          <w:tcPr>
            <w:tcW w:w="4060" w:type="dxa"/>
            <w:tcBorders>
              <w:top w:val="nil"/>
              <w:left w:val="nil"/>
              <w:bottom w:val="single" w:sz="4" w:space="0" w:color="auto"/>
              <w:right w:val="nil"/>
            </w:tcBorders>
            <w:shd w:val="clear" w:color="auto" w:fill="auto"/>
            <w:vAlign w:val="center"/>
            <w:hideMark/>
          </w:tcPr>
          <w:p w:rsidR="00E35792" w:rsidRDefault="00E35792">
            <w:pPr>
              <w:rPr>
                <w:rFonts w:ascii="Garamond" w:hAnsi="Garamond" w:cs="Arial"/>
              </w:rPr>
            </w:pPr>
            <w:r>
              <w:rPr>
                <w:rFonts w:ascii="Garamond" w:hAnsi="Garamond" w:cs="Arial"/>
              </w:rPr>
              <w:t>Wskaźnik wypłacalności</w:t>
            </w:r>
          </w:p>
        </w:tc>
        <w:tc>
          <w:tcPr>
            <w:tcW w:w="1880" w:type="dxa"/>
            <w:tcBorders>
              <w:top w:val="nil"/>
              <w:left w:val="single" w:sz="8" w:space="0" w:color="auto"/>
              <w:bottom w:val="single" w:sz="8" w:space="0" w:color="auto"/>
              <w:right w:val="single" w:sz="4" w:space="0" w:color="auto"/>
            </w:tcBorders>
            <w:shd w:val="clear" w:color="000000" w:fill="FFFFFF"/>
            <w:vAlign w:val="center"/>
            <w:hideMark/>
          </w:tcPr>
          <w:p w:rsidR="00E35792" w:rsidRDefault="000C203D">
            <w:pPr>
              <w:jc w:val="center"/>
              <w:rPr>
                <w:rFonts w:ascii="Garamond" w:hAnsi="Garamond" w:cs="Arial"/>
                <w:color w:val="000000"/>
              </w:rPr>
            </w:pPr>
            <w:r>
              <w:rPr>
                <w:rFonts w:ascii="Garamond" w:hAnsi="Garamond" w:cs="Arial"/>
                <w:color w:val="000000"/>
              </w:rPr>
              <w:t>0,17</w:t>
            </w:r>
          </w:p>
        </w:tc>
        <w:tc>
          <w:tcPr>
            <w:tcW w:w="1360" w:type="dxa"/>
            <w:tcBorders>
              <w:top w:val="nil"/>
              <w:left w:val="nil"/>
              <w:bottom w:val="single" w:sz="8" w:space="0" w:color="auto"/>
              <w:right w:val="single" w:sz="8" w:space="0" w:color="auto"/>
            </w:tcBorders>
            <w:shd w:val="clear" w:color="000000" w:fill="FFFFFF"/>
            <w:vAlign w:val="center"/>
            <w:hideMark/>
          </w:tcPr>
          <w:p w:rsidR="00E35792" w:rsidRDefault="00E35792">
            <w:pPr>
              <w:jc w:val="center"/>
              <w:rPr>
                <w:rFonts w:ascii="Garamond" w:hAnsi="Garamond" w:cs="Arial"/>
              </w:rPr>
            </w:pPr>
            <w:r>
              <w:rPr>
                <w:rFonts w:ascii="Garamond" w:hAnsi="Garamond" w:cs="Arial"/>
              </w:rPr>
              <w:t>10</w:t>
            </w:r>
          </w:p>
        </w:tc>
      </w:tr>
      <w:tr w:rsidR="00E35792" w:rsidTr="00252ACA">
        <w:trPr>
          <w:trHeight w:val="540"/>
        </w:trPr>
        <w:tc>
          <w:tcPr>
            <w:tcW w:w="6320" w:type="dxa"/>
            <w:gridSpan w:val="2"/>
            <w:tcBorders>
              <w:top w:val="single" w:sz="8" w:space="0" w:color="auto"/>
              <w:left w:val="nil"/>
              <w:bottom w:val="nil"/>
              <w:right w:val="single" w:sz="8" w:space="0" w:color="000000"/>
            </w:tcBorders>
            <w:shd w:val="clear" w:color="000000" w:fill="FFFFFF"/>
            <w:noWrap/>
            <w:vAlign w:val="center"/>
            <w:hideMark/>
          </w:tcPr>
          <w:p w:rsidR="00E35792" w:rsidRDefault="00E35792">
            <w:pPr>
              <w:rPr>
                <w:rFonts w:ascii="Garamond" w:hAnsi="Garamond" w:cs="Arial"/>
                <w:b/>
                <w:bCs/>
                <w:sz w:val="20"/>
                <w:szCs w:val="20"/>
              </w:rPr>
            </w:pPr>
            <w:r>
              <w:rPr>
                <w:rFonts w:ascii="Garamond" w:hAnsi="Garamond" w:cs="Arial"/>
                <w:b/>
                <w:bCs/>
                <w:sz w:val="20"/>
                <w:szCs w:val="20"/>
              </w:rPr>
              <w:t> </w:t>
            </w:r>
          </w:p>
        </w:tc>
        <w:tc>
          <w:tcPr>
            <w:tcW w:w="1880" w:type="dxa"/>
            <w:tcBorders>
              <w:top w:val="nil"/>
              <w:left w:val="nil"/>
              <w:bottom w:val="single" w:sz="8" w:space="0" w:color="auto"/>
              <w:right w:val="nil"/>
            </w:tcBorders>
            <w:shd w:val="clear" w:color="000000" w:fill="969696"/>
            <w:vAlign w:val="center"/>
            <w:hideMark/>
          </w:tcPr>
          <w:p w:rsidR="00E35792" w:rsidRDefault="00E35792">
            <w:pPr>
              <w:rPr>
                <w:rFonts w:ascii="Garamond" w:hAnsi="Garamond" w:cs="Arial"/>
                <w:b/>
                <w:bCs/>
                <w:color w:val="000000"/>
                <w:sz w:val="20"/>
                <w:szCs w:val="20"/>
              </w:rPr>
            </w:pPr>
            <w:r>
              <w:rPr>
                <w:rFonts w:ascii="Garamond" w:hAnsi="Garamond" w:cs="Arial"/>
                <w:b/>
                <w:bCs/>
                <w:color w:val="000000"/>
                <w:sz w:val="20"/>
                <w:szCs w:val="20"/>
              </w:rPr>
              <w:t>IV. Razem</w:t>
            </w:r>
          </w:p>
        </w:tc>
        <w:tc>
          <w:tcPr>
            <w:tcW w:w="1360" w:type="dxa"/>
            <w:tcBorders>
              <w:top w:val="nil"/>
              <w:left w:val="nil"/>
              <w:bottom w:val="single" w:sz="8" w:space="0" w:color="auto"/>
              <w:right w:val="single" w:sz="8" w:space="0" w:color="auto"/>
            </w:tcBorders>
            <w:shd w:val="clear" w:color="000000" w:fill="969696"/>
            <w:vAlign w:val="center"/>
            <w:hideMark/>
          </w:tcPr>
          <w:p w:rsidR="00E35792" w:rsidRDefault="00E35792">
            <w:pPr>
              <w:jc w:val="center"/>
              <w:rPr>
                <w:rFonts w:ascii="Garamond" w:hAnsi="Garamond" w:cs="Arial"/>
                <w:b/>
                <w:bCs/>
              </w:rPr>
            </w:pPr>
            <w:r>
              <w:rPr>
                <w:rFonts w:ascii="Garamond" w:hAnsi="Garamond" w:cs="Arial"/>
                <w:b/>
                <w:bCs/>
              </w:rPr>
              <w:t>20</w:t>
            </w:r>
          </w:p>
        </w:tc>
      </w:tr>
      <w:tr w:rsidR="00E35792" w:rsidTr="00252ACA">
        <w:trPr>
          <w:trHeight w:val="485"/>
        </w:trPr>
        <w:tc>
          <w:tcPr>
            <w:tcW w:w="8200" w:type="dxa"/>
            <w:gridSpan w:val="3"/>
            <w:tcBorders>
              <w:top w:val="single" w:sz="8" w:space="0" w:color="auto"/>
              <w:left w:val="single" w:sz="8" w:space="0" w:color="auto"/>
              <w:bottom w:val="single" w:sz="8" w:space="0" w:color="000000"/>
              <w:right w:val="single" w:sz="4" w:space="0" w:color="000000"/>
            </w:tcBorders>
            <w:shd w:val="clear" w:color="000000" w:fill="FFCC00"/>
            <w:noWrap/>
            <w:vAlign w:val="center"/>
            <w:hideMark/>
          </w:tcPr>
          <w:p w:rsidR="00E35792" w:rsidRDefault="00E35792">
            <w:pPr>
              <w:jc w:val="center"/>
              <w:rPr>
                <w:rFonts w:ascii="Garamond" w:hAnsi="Garamond" w:cs="Arial"/>
                <w:b/>
                <w:bCs/>
              </w:rPr>
            </w:pPr>
            <w:r>
              <w:rPr>
                <w:rFonts w:ascii="Garamond" w:hAnsi="Garamond" w:cs="Arial"/>
                <w:b/>
                <w:bCs/>
              </w:rPr>
              <w:t>Łączna wartość punktów</w:t>
            </w:r>
          </w:p>
        </w:tc>
        <w:tc>
          <w:tcPr>
            <w:tcW w:w="1360" w:type="dxa"/>
            <w:tcBorders>
              <w:top w:val="single" w:sz="8" w:space="0" w:color="auto"/>
              <w:left w:val="nil"/>
              <w:bottom w:val="single" w:sz="8" w:space="0" w:color="000000"/>
              <w:right w:val="single" w:sz="8" w:space="0" w:color="auto"/>
            </w:tcBorders>
            <w:shd w:val="clear" w:color="000000" w:fill="FFCC00"/>
            <w:vAlign w:val="center"/>
            <w:hideMark/>
          </w:tcPr>
          <w:p w:rsidR="00E35792" w:rsidRDefault="00E35792">
            <w:pPr>
              <w:jc w:val="center"/>
              <w:rPr>
                <w:rFonts w:ascii="Garamond" w:hAnsi="Garamond" w:cs="Arial"/>
                <w:b/>
                <w:bCs/>
              </w:rPr>
            </w:pPr>
            <w:r>
              <w:rPr>
                <w:rFonts w:ascii="Garamond" w:hAnsi="Garamond" w:cs="Arial"/>
                <w:b/>
                <w:bCs/>
              </w:rPr>
              <w:t>65</w:t>
            </w:r>
          </w:p>
        </w:tc>
      </w:tr>
    </w:tbl>
    <w:p w:rsidR="006D78E3" w:rsidRDefault="006D78E3" w:rsidP="0047283E">
      <w:pPr>
        <w:jc w:val="both"/>
      </w:pPr>
    </w:p>
    <w:tbl>
      <w:tblPr>
        <w:tblW w:w="10094" w:type="dxa"/>
        <w:tblInd w:w="58" w:type="dxa"/>
        <w:tblCellMar>
          <w:left w:w="70" w:type="dxa"/>
          <w:right w:w="70" w:type="dxa"/>
        </w:tblCellMar>
        <w:tblLook w:val="04A0"/>
      </w:tblPr>
      <w:tblGrid>
        <w:gridCol w:w="1774"/>
        <w:gridCol w:w="2400"/>
        <w:gridCol w:w="1060"/>
        <w:gridCol w:w="1260"/>
        <w:gridCol w:w="900"/>
        <w:gridCol w:w="900"/>
        <w:gridCol w:w="900"/>
        <w:gridCol w:w="900"/>
      </w:tblGrid>
      <w:tr w:rsidR="00252ACA" w:rsidRPr="00252ACA" w:rsidTr="00BD4CEE">
        <w:trPr>
          <w:trHeight w:val="807"/>
        </w:trPr>
        <w:tc>
          <w:tcPr>
            <w:tcW w:w="4174" w:type="dxa"/>
            <w:gridSpan w:val="2"/>
            <w:tcBorders>
              <w:top w:val="nil"/>
              <w:left w:val="nil"/>
              <w:bottom w:val="nil"/>
              <w:right w:val="nil"/>
            </w:tcBorders>
            <w:shd w:val="clear" w:color="auto" w:fill="auto"/>
            <w:vAlign w:val="center"/>
            <w:hideMark/>
          </w:tcPr>
          <w:p w:rsidR="00252ACA" w:rsidRPr="00252ACA" w:rsidRDefault="00252ACA" w:rsidP="00252ACA">
            <w:pPr>
              <w:spacing w:after="0" w:line="240" w:lineRule="auto"/>
              <w:rPr>
                <w:rFonts w:ascii="Arial" w:eastAsia="Times New Roman" w:hAnsi="Arial" w:cs="Arial"/>
                <w:sz w:val="18"/>
                <w:szCs w:val="18"/>
                <w:lang w:eastAsia="pl-PL"/>
              </w:rPr>
            </w:pPr>
            <w:bookmarkStart w:id="0" w:name="RANGE!A1:H22"/>
            <w:proofErr w:type="spellStart"/>
            <w:r w:rsidRPr="00252ACA">
              <w:rPr>
                <w:rFonts w:ascii="Arial" w:eastAsia="Times New Roman" w:hAnsi="Arial" w:cs="Arial"/>
                <w:sz w:val="18"/>
                <w:szCs w:val="18"/>
                <w:lang w:eastAsia="pl-PL"/>
              </w:rPr>
              <w:t>Konsultant</w:t>
            </w:r>
            <w:proofErr w:type="spellEnd"/>
            <w:r w:rsidRPr="00252ACA">
              <w:rPr>
                <w:rFonts w:ascii="Arial" w:eastAsia="Times New Roman" w:hAnsi="Arial" w:cs="Arial"/>
                <w:sz w:val="18"/>
                <w:szCs w:val="18"/>
                <w:lang w:eastAsia="pl-PL"/>
              </w:rPr>
              <w:t xml:space="preserve"> - Wszelkie prawa zastrzeżone                                                                                                                                 Uprawniony do korzystania:</w:t>
            </w:r>
            <w:bookmarkEnd w:id="0"/>
          </w:p>
        </w:tc>
        <w:tc>
          <w:tcPr>
            <w:tcW w:w="59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52ACA" w:rsidRPr="00252ACA" w:rsidRDefault="00252ACA" w:rsidP="00252ACA">
            <w:pPr>
              <w:spacing w:after="240" w:line="240" w:lineRule="auto"/>
              <w:jc w:val="center"/>
              <w:rPr>
                <w:rFonts w:ascii="Arial" w:eastAsia="Times New Roman" w:hAnsi="Arial" w:cs="Arial"/>
                <w:b/>
                <w:bCs/>
                <w:i/>
                <w:iCs/>
                <w:sz w:val="20"/>
                <w:szCs w:val="20"/>
                <w:lang w:eastAsia="pl-PL"/>
              </w:rPr>
            </w:pPr>
            <w:r w:rsidRPr="00252ACA">
              <w:rPr>
                <w:rFonts w:ascii="Arial" w:eastAsia="Times New Roman" w:hAnsi="Arial" w:cs="Arial"/>
                <w:b/>
                <w:bCs/>
                <w:i/>
                <w:iCs/>
                <w:sz w:val="20"/>
                <w:szCs w:val="20"/>
                <w:lang w:eastAsia="pl-PL"/>
              </w:rPr>
              <w:t>Szpital Uzdrowiskowy "Willa Fortuna" w Kołobrzegu</w:t>
            </w:r>
          </w:p>
        </w:tc>
      </w:tr>
      <w:tr w:rsidR="00252ACA" w:rsidRPr="00252ACA" w:rsidTr="00BD4CEE">
        <w:trPr>
          <w:trHeight w:val="795"/>
        </w:trPr>
        <w:tc>
          <w:tcPr>
            <w:tcW w:w="10094" w:type="dxa"/>
            <w:gridSpan w:val="8"/>
            <w:tcBorders>
              <w:top w:val="nil"/>
              <w:left w:val="nil"/>
              <w:bottom w:val="single" w:sz="8"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 xml:space="preserve">TABELA PODSUMOWUJĄCA WYNIKI OCENY SYTUACJI EKONOMICZNO-FINANSOWEJ -  PROGNOZA NA LATA </w:t>
            </w:r>
            <w:r w:rsidRPr="00252ACA">
              <w:rPr>
                <w:rFonts w:ascii="Garamond" w:eastAsia="Times New Roman" w:hAnsi="Garamond" w:cs="Arial"/>
                <w:b/>
                <w:bCs/>
                <w:color w:val="00FF00"/>
                <w:lang w:eastAsia="pl-PL"/>
              </w:rPr>
              <w:t xml:space="preserve"> </w:t>
            </w:r>
            <w:r w:rsidR="00C74CD0">
              <w:rPr>
                <w:rFonts w:ascii="Garamond" w:eastAsia="Times New Roman" w:hAnsi="Garamond" w:cs="Arial"/>
                <w:b/>
                <w:bCs/>
                <w:color w:val="000000"/>
                <w:lang w:eastAsia="pl-PL"/>
              </w:rPr>
              <w:t>2023</w:t>
            </w:r>
            <w:r w:rsidRPr="00252ACA">
              <w:rPr>
                <w:rFonts w:ascii="Garamond" w:eastAsia="Times New Roman" w:hAnsi="Garamond" w:cs="Arial"/>
                <w:b/>
                <w:bCs/>
                <w:color w:val="000000"/>
                <w:lang w:eastAsia="pl-PL"/>
              </w:rPr>
              <w:t xml:space="preserve"> - 202</w:t>
            </w:r>
            <w:r w:rsidR="00C74CD0">
              <w:rPr>
                <w:rFonts w:ascii="Garamond" w:eastAsia="Times New Roman" w:hAnsi="Garamond" w:cs="Arial"/>
                <w:b/>
                <w:bCs/>
                <w:color w:val="000000"/>
                <w:lang w:eastAsia="pl-PL"/>
              </w:rPr>
              <w:t>5</w:t>
            </w:r>
          </w:p>
        </w:tc>
      </w:tr>
      <w:tr w:rsidR="00252ACA" w:rsidRPr="00252ACA" w:rsidTr="00BD4CEE">
        <w:trPr>
          <w:trHeight w:val="330"/>
        </w:trPr>
        <w:tc>
          <w:tcPr>
            <w:tcW w:w="1774" w:type="dxa"/>
            <w:vMerge w:val="restart"/>
            <w:tcBorders>
              <w:top w:val="nil"/>
              <w:left w:val="single" w:sz="8" w:space="0" w:color="auto"/>
              <w:bottom w:val="single" w:sz="8" w:space="0" w:color="000000"/>
              <w:right w:val="single" w:sz="8" w:space="0" w:color="auto"/>
            </w:tcBorders>
            <w:shd w:val="clear" w:color="000000" w:fill="FCD5B4"/>
            <w:noWrap/>
            <w:vAlign w:val="center"/>
            <w:hideMark/>
          </w:tcPr>
          <w:p w:rsidR="00252ACA" w:rsidRPr="00252ACA" w:rsidRDefault="00252ACA" w:rsidP="00252ACA">
            <w:pPr>
              <w:spacing w:after="0" w:line="240" w:lineRule="auto"/>
              <w:jc w:val="center"/>
              <w:rPr>
                <w:rFonts w:ascii="Garamond" w:eastAsia="Times New Roman" w:hAnsi="Garamond" w:cs="Arial"/>
                <w:sz w:val="20"/>
                <w:szCs w:val="20"/>
                <w:lang w:eastAsia="pl-PL"/>
              </w:rPr>
            </w:pPr>
            <w:r w:rsidRPr="00252ACA">
              <w:rPr>
                <w:rFonts w:ascii="Garamond" w:eastAsia="Times New Roman" w:hAnsi="Garamond" w:cs="Arial"/>
                <w:sz w:val="20"/>
                <w:szCs w:val="20"/>
                <w:lang w:eastAsia="pl-PL"/>
              </w:rPr>
              <w:t>Grupa</w:t>
            </w:r>
          </w:p>
        </w:tc>
        <w:tc>
          <w:tcPr>
            <w:tcW w:w="2400" w:type="dxa"/>
            <w:vMerge w:val="restart"/>
            <w:tcBorders>
              <w:top w:val="nil"/>
              <w:left w:val="single" w:sz="8" w:space="0" w:color="auto"/>
              <w:bottom w:val="single" w:sz="8" w:space="0" w:color="000000"/>
              <w:right w:val="nil"/>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Wskaźniki</w:t>
            </w:r>
          </w:p>
        </w:tc>
        <w:tc>
          <w:tcPr>
            <w:tcW w:w="2320" w:type="dxa"/>
            <w:gridSpan w:val="2"/>
            <w:tcBorders>
              <w:top w:val="single" w:sz="8" w:space="0" w:color="auto"/>
              <w:left w:val="single" w:sz="8" w:space="0" w:color="auto"/>
              <w:bottom w:val="single" w:sz="4" w:space="0" w:color="auto"/>
              <w:right w:val="single" w:sz="8" w:space="0" w:color="000000"/>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C74CD0">
              <w:rPr>
                <w:rFonts w:ascii="Garamond" w:eastAsia="Times New Roman" w:hAnsi="Garamond" w:cs="Arial"/>
                <w:b/>
                <w:bCs/>
                <w:sz w:val="18"/>
                <w:szCs w:val="18"/>
                <w:lang w:eastAsia="pl-PL"/>
              </w:rPr>
              <w:t>3</w:t>
            </w:r>
          </w:p>
        </w:tc>
        <w:tc>
          <w:tcPr>
            <w:tcW w:w="1800" w:type="dxa"/>
            <w:gridSpan w:val="2"/>
            <w:tcBorders>
              <w:top w:val="single" w:sz="8" w:space="0" w:color="auto"/>
              <w:left w:val="nil"/>
              <w:bottom w:val="single" w:sz="4" w:space="0" w:color="auto"/>
              <w:right w:val="nil"/>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C74CD0">
              <w:rPr>
                <w:rFonts w:ascii="Garamond" w:eastAsia="Times New Roman" w:hAnsi="Garamond" w:cs="Arial"/>
                <w:b/>
                <w:bCs/>
                <w:sz w:val="18"/>
                <w:szCs w:val="18"/>
                <w:lang w:eastAsia="pl-PL"/>
              </w:rPr>
              <w:t>4</w:t>
            </w:r>
          </w:p>
        </w:tc>
        <w:tc>
          <w:tcPr>
            <w:tcW w:w="1800" w:type="dxa"/>
            <w:gridSpan w:val="2"/>
            <w:tcBorders>
              <w:top w:val="single" w:sz="8" w:space="0" w:color="auto"/>
              <w:left w:val="single" w:sz="8" w:space="0" w:color="auto"/>
              <w:bottom w:val="single" w:sz="4" w:space="0" w:color="auto"/>
              <w:right w:val="single" w:sz="8" w:space="0" w:color="000000"/>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C74CD0">
              <w:rPr>
                <w:rFonts w:ascii="Garamond" w:eastAsia="Times New Roman" w:hAnsi="Garamond" w:cs="Arial"/>
                <w:b/>
                <w:bCs/>
                <w:sz w:val="18"/>
                <w:szCs w:val="18"/>
                <w:lang w:eastAsia="pl-PL"/>
              </w:rPr>
              <w:t>5</w:t>
            </w:r>
          </w:p>
        </w:tc>
      </w:tr>
      <w:tr w:rsidR="00252ACA" w:rsidRPr="00252ACA" w:rsidTr="00BD4CEE">
        <w:trPr>
          <w:trHeight w:val="540"/>
        </w:trPr>
        <w:tc>
          <w:tcPr>
            <w:tcW w:w="1774" w:type="dxa"/>
            <w:vMerge/>
            <w:tcBorders>
              <w:top w:val="nil"/>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sz w:val="20"/>
                <w:szCs w:val="20"/>
                <w:lang w:eastAsia="pl-PL"/>
              </w:rPr>
            </w:pPr>
          </w:p>
        </w:tc>
        <w:tc>
          <w:tcPr>
            <w:tcW w:w="2400" w:type="dxa"/>
            <w:vMerge/>
            <w:tcBorders>
              <w:top w:val="nil"/>
              <w:left w:val="single" w:sz="8" w:space="0" w:color="auto"/>
              <w:bottom w:val="single" w:sz="8" w:space="0" w:color="000000"/>
              <w:right w:val="nil"/>
            </w:tcBorders>
            <w:vAlign w:val="center"/>
            <w:hideMark/>
          </w:tcPr>
          <w:p w:rsidR="00252ACA" w:rsidRPr="00252ACA" w:rsidRDefault="00252ACA" w:rsidP="00252ACA">
            <w:pPr>
              <w:spacing w:after="0" w:line="240" w:lineRule="auto"/>
              <w:rPr>
                <w:rFonts w:ascii="Garamond" w:eastAsia="Times New Roman" w:hAnsi="Garamond" w:cs="Arial"/>
                <w:lang w:eastAsia="pl-PL"/>
              </w:rPr>
            </w:pPr>
          </w:p>
        </w:tc>
        <w:tc>
          <w:tcPr>
            <w:tcW w:w="1060" w:type="dxa"/>
            <w:tcBorders>
              <w:top w:val="nil"/>
              <w:left w:val="single" w:sz="8" w:space="0" w:color="auto"/>
              <w:bottom w:val="single" w:sz="8"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Wskaźnik</w:t>
            </w:r>
          </w:p>
        </w:tc>
        <w:tc>
          <w:tcPr>
            <w:tcW w:w="1260" w:type="dxa"/>
            <w:tcBorders>
              <w:top w:val="nil"/>
              <w:left w:val="nil"/>
              <w:bottom w:val="single" w:sz="8" w:space="0" w:color="auto"/>
              <w:right w:val="single" w:sz="8"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Ilość punktów</w:t>
            </w:r>
          </w:p>
        </w:tc>
        <w:tc>
          <w:tcPr>
            <w:tcW w:w="900" w:type="dxa"/>
            <w:tcBorders>
              <w:top w:val="nil"/>
              <w:left w:val="nil"/>
              <w:bottom w:val="single" w:sz="8"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Wskaźnik</w:t>
            </w:r>
          </w:p>
        </w:tc>
        <w:tc>
          <w:tcPr>
            <w:tcW w:w="900" w:type="dxa"/>
            <w:tcBorders>
              <w:top w:val="nil"/>
              <w:left w:val="nil"/>
              <w:bottom w:val="single" w:sz="8" w:space="0" w:color="auto"/>
              <w:right w:val="nil"/>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Ilość punktów</w:t>
            </w:r>
          </w:p>
        </w:tc>
        <w:tc>
          <w:tcPr>
            <w:tcW w:w="900" w:type="dxa"/>
            <w:tcBorders>
              <w:top w:val="nil"/>
              <w:left w:val="single" w:sz="8" w:space="0" w:color="auto"/>
              <w:bottom w:val="single" w:sz="8"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Wskaźnik</w:t>
            </w:r>
          </w:p>
        </w:tc>
        <w:tc>
          <w:tcPr>
            <w:tcW w:w="900" w:type="dxa"/>
            <w:tcBorders>
              <w:top w:val="nil"/>
              <w:left w:val="nil"/>
              <w:bottom w:val="single" w:sz="8" w:space="0" w:color="auto"/>
              <w:right w:val="single" w:sz="8"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Ilość punktów</w:t>
            </w:r>
          </w:p>
        </w:tc>
      </w:tr>
      <w:tr w:rsidR="00252ACA" w:rsidRPr="00252ACA" w:rsidTr="00BD4CEE">
        <w:trPr>
          <w:trHeight w:val="720"/>
        </w:trPr>
        <w:tc>
          <w:tcPr>
            <w:tcW w:w="1774" w:type="dxa"/>
            <w:vMerge w:val="restart"/>
            <w:tcBorders>
              <w:top w:val="nil"/>
              <w:left w:val="single" w:sz="8" w:space="0" w:color="auto"/>
              <w:bottom w:val="single" w:sz="8" w:space="0" w:color="000000"/>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I. WSKAŹNIKI ZYSKOWNOŚCI</w:t>
            </w:r>
          </w:p>
        </w:tc>
        <w:tc>
          <w:tcPr>
            <w:tcW w:w="2400" w:type="dxa"/>
            <w:tcBorders>
              <w:top w:val="nil"/>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zyskowności  netto  (%)                                                           </w:t>
            </w:r>
          </w:p>
        </w:tc>
        <w:tc>
          <w:tcPr>
            <w:tcW w:w="1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8,49</w:t>
            </w:r>
            <w:r w:rsidR="00252ACA" w:rsidRPr="00252ACA">
              <w:rPr>
                <w:rFonts w:ascii="Garamond" w:eastAsia="Times New Roman" w:hAnsi="Garamond" w:cs="Arial"/>
                <w:lang w:eastAsia="pl-PL"/>
              </w:rPr>
              <w:t>%</w:t>
            </w:r>
          </w:p>
        </w:tc>
        <w:tc>
          <w:tcPr>
            <w:tcW w:w="1260" w:type="dxa"/>
            <w:tcBorders>
              <w:top w:val="single" w:sz="4"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8,52</w:t>
            </w:r>
            <w:r w:rsidR="00252ACA" w:rsidRPr="00252ACA">
              <w:rPr>
                <w:rFonts w:ascii="Garamond" w:eastAsia="Times New Roman" w:hAnsi="Garamond" w:cs="Arial"/>
                <w:lang w:eastAsia="pl-PL"/>
              </w:rPr>
              <w:t>%</w:t>
            </w:r>
          </w:p>
        </w:tc>
        <w:tc>
          <w:tcPr>
            <w:tcW w:w="900" w:type="dxa"/>
            <w:tcBorders>
              <w:top w:val="single" w:sz="4" w:space="0" w:color="auto"/>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8,29</w:t>
            </w:r>
            <w:r w:rsidR="00252ACA" w:rsidRPr="00252ACA">
              <w:rPr>
                <w:rFonts w:ascii="Garamond" w:eastAsia="Times New Roman" w:hAnsi="Garamond" w:cs="Arial"/>
                <w:lang w:eastAsia="pl-PL"/>
              </w:rPr>
              <w:t>%</w:t>
            </w:r>
          </w:p>
        </w:tc>
        <w:tc>
          <w:tcPr>
            <w:tcW w:w="900" w:type="dxa"/>
            <w:tcBorders>
              <w:top w:val="single" w:sz="4"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BD4CEE">
        <w:trPr>
          <w:trHeight w:val="945"/>
        </w:trPr>
        <w:tc>
          <w:tcPr>
            <w:tcW w:w="1774" w:type="dxa"/>
            <w:vMerge/>
            <w:tcBorders>
              <w:top w:val="nil"/>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p>
        </w:tc>
        <w:tc>
          <w:tcPr>
            <w:tcW w:w="2400" w:type="dxa"/>
            <w:tcBorders>
              <w:top w:val="nil"/>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zyskowności działalności operacyjnej (%)            </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7,28</w:t>
            </w:r>
            <w:r w:rsidR="00252ACA" w:rsidRPr="00252ACA">
              <w:rPr>
                <w:rFonts w:ascii="Garamond" w:eastAsia="Times New Roman" w:hAnsi="Garamond" w:cs="Arial"/>
                <w:lang w:eastAsia="pl-PL"/>
              </w:rPr>
              <w:t>%</w:t>
            </w:r>
          </w:p>
        </w:tc>
        <w:tc>
          <w:tcPr>
            <w:tcW w:w="126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nil"/>
              <w:left w:val="nil"/>
              <w:bottom w:val="single" w:sz="4" w:space="0" w:color="auto"/>
              <w:right w:val="single" w:sz="4" w:space="0" w:color="auto"/>
            </w:tcBorders>
            <w:shd w:val="clear" w:color="auto" w:fill="auto"/>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7,94</w:t>
            </w:r>
            <w:r w:rsidR="00252ACA" w:rsidRPr="00252ACA">
              <w:rPr>
                <w:rFonts w:ascii="Garamond" w:eastAsia="Times New Roman" w:hAnsi="Garamond" w:cs="Arial"/>
                <w:lang w:eastAsia="pl-PL"/>
              </w:rPr>
              <w:t>%</w:t>
            </w:r>
          </w:p>
        </w:tc>
        <w:tc>
          <w:tcPr>
            <w:tcW w:w="900" w:type="dxa"/>
            <w:tcBorders>
              <w:top w:val="nil"/>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C74CD0"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7,85</w:t>
            </w:r>
            <w:r w:rsidR="00252ACA" w:rsidRPr="00252ACA">
              <w:rPr>
                <w:rFonts w:ascii="Garamond" w:eastAsia="Times New Roman" w:hAnsi="Garamond" w:cs="Arial"/>
                <w:lang w:eastAsia="pl-PL"/>
              </w:rPr>
              <w:t>%</w:t>
            </w:r>
          </w:p>
        </w:tc>
        <w:tc>
          <w:tcPr>
            <w:tcW w:w="90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BD4CEE">
        <w:trPr>
          <w:trHeight w:val="675"/>
        </w:trPr>
        <w:tc>
          <w:tcPr>
            <w:tcW w:w="1774" w:type="dxa"/>
            <w:vMerge/>
            <w:tcBorders>
              <w:top w:val="nil"/>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p>
        </w:tc>
        <w:tc>
          <w:tcPr>
            <w:tcW w:w="2400" w:type="dxa"/>
            <w:tcBorders>
              <w:top w:val="nil"/>
              <w:left w:val="nil"/>
              <w:bottom w:val="nil"/>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zyskowność aktywów (%)</w:t>
            </w:r>
          </w:p>
        </w:tc>
        <w:tc>
          <w:tcPr>
            <w:tcW w:w="1060" w:type="dxa"/>
            <w:tcBorders>
              <w:top w:val="nil"/>
              <w:left w:val="single" w:sz="8" w:space="0" w:color="auto"/>
              <w:bottom w:val="nil"/>
              <w:right w:val="single" w:sz="4" w:space="0" w:color="auto"/>
            </w:tcBorders>
            <w:shd w:val="clear" w:color="000000" w:fill="FFFFFF"/>
            <w:vAlign w:val="center"/>
            <w:hideMark/>
          </w:tcPr>
          <w:p w:rsidR="00252ACA" w:rsidRPr="00252ACA" w:rsidRDefault="00C74CD0" w:rsidP="00252ACA">
            <w:pPr>
              <w:spacing w:after="0" w:line="240" w:lineRule="auto"/>
              <w:jc w:val="center"/>
              <w:rPr>
                <w:rFonts w:ascii="Garamond" w:eastAsia="Times New Roman" w:hAnsi="Garamond" w:cs="Arial"/>
                <w:color w:val="000000"/>
                <w:lang w:eastAsia="pl-PL"/>
              </w:rPr>
            </w:pPr>
            <w:r>
              <w:rPr>
                <w:rFonts w:ascii="Garamond" w:eastAsia="Times New Roman" w:hAnsi="Garamond" w:cs="Arial"/>
                <w:color w:val="000000"/>
                <w:lang w:eastAsia="pl-PL"/>
              </w:rPr>
              <w:t>8,43</w:t>
            </w:r>
            <w:r w:rsidR="00252ACA" w:rsidRPr="00252ACA">
              <w:rPr>
                <w:rFonts w:ascii="Garamond" w:eastAsia="Times New Roman" w:hAnsi="Garamond" w:cs="Arial"/>
                <w:color w:val="000000"/>
                <w:lang w:eastAsia="pl-PL"/>
              </w:rPr>
              <w:t>%</w:t>
            </w:r>
          </w:p>
        </w:tc>
        <w:tc>
          <w:tcPr>
            <w:tcW w:w="126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nil"/>
              <w:left w:val="nil"/>
              <w:bottom w:val="nil"/>
              <w:right w:val="single" w:sz="4" w:space="0" w:color="auto"/>
            </w:tcBorders>
            <w:shd w:val="clear" w:color="000000" w:fill="FFFFFF"/>
            <w:vAlign w:val="center"/>
            <w:hideMark/>
          </w:tcPr>
          <w:p w:rsidR="00252ACA" w:rsidRPr="00252ACA" w:rsidRDefault="00C74CD0" w:rsidP="00252ACA">
            <w:pPr>
              <w:spacing w:after="0" w:line="240" w:lineRule="auto"/>
              <w:jc w:val="center"/>
              <w:rPr>
                <w:rFonts w:ascii="Garamond" w:eastAsia="Times New Roman" w:hAnsi="Garamond" w:cs="Arial"/>
                <w:color w:val="000000"/>
                <w:lang w:eastAsia="pl-PL"/>
              </w:rPr>
            </w:pPr>
            <w:r>
              <w:rPr>
                <w:rFonts w:ascii="Garamond" w:eastAsia="Times New Roman" w:hAnsi="Garamond" w:cs="Arial"/>
                <w:color w:val="000000"/>
                <w:lang w:eastAsia="pl-PL"/>
              </w:rPr>
              <w:t>8,77</w:t>
            </w:r>
            <w:r w:rsidR="00252ACA" w:rsidRPr="00252ACA">
              <w:rPr>
                <w:rFonts w:ascii="Garamond" w:eastAsia="Times New Roman" w:hAnsi="Garamond" w:cs="Arial"/>
                <w:color w:val="000000"/>
                <w:lang w:eastAsia="pl-PL"/>
              </w:rPr>
              <w:t>%</w:t>
            </w:r>
          </w:p>
        </w:tc>
        <w:tc>
          <w:tcPr>
            <w:tcW w:w="900" w:type="dxa"/>
            <w:tcBorders>
              <w:top w:val="nil"/>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00" w:type="dxa"/>
            <w:tcBorders>
              <w:top w:val="nil"/>
              <w:left w:val="single" w:sz="8" w:space="0" w:color="auto"/>
              <w:bottom w:val="single" w:sz="8" w:space="0" w:color="auto"/>
              <w:right w:val="single" w:sz="4" w:space="0" w:color="auto"/>
            </w:tcBorders>
            <w:shd w:val="clear" w:color="000000" w:fill="FFFFFF"/>
            <w:vAlign w:val="center"/>
            <w:hideMark/>
          </w:tcPr>
          <w:p w:rsidR="00252ACA" w:rsidRPr="00252ACA" w:rsidRDefault="00C74CD0" w:rsidP="00252ACA">
            <w:pPr>
              <w:spacing w:after="0" w:line="240" w:lineRule="auto"/>
              <w:jc w:val="center"/>
              <w:rPr>
                <w:rFonts w:ascii="Garamond" w:eastAsia="Times New Roman" w:hAnsi="Garamond" w:cs="Arial"/>
                <w:color w:val="000000"/>
                <w:lang w:eastAsia="pl-PL"/>
              </w:rPr>
            </w:pPr>
            <w:r>
              <w:rPr>
                <w:rFonts w:ascii="Garamond" w:eastAsia="Times New Roman" w:hAnsi="Garamond" w:cs="Arial"/>
                <w:color w:val="000000"/>
                <w:lang w:eastAsia="pl-PL"/>
              </w:rPr>
              <w:t>8,38</w:t>
            </w:r>
            <w:r w:rsidR="00252ACA" w:rsidRPr="00252ACA">
              <w:rPr>
                <w:rFonts w:ascii="Garamond" w:eastAsia="Times New Roman" w:hAnsi="Garamond" w:cs="Arial"/>
                <w:color w:val="000000"/>
                <w:lang w:eastAsia="pl-PL"/>
              </w:rPr>
              <w:t>%</w:t>
            </w:r>
          </w:p>
        </w:tc>
        <w:tc>
          <w:tcPr>
            <w:tcW w:w="900" w:type="dxa"/>
            <w:tcBorders>
              <w:top w:val="nil"/>
              <w:left w:val="nil"/>
              <w:bottom w:val="single" w:sz="8"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BD4CEE">
        <w:trPr>
          <w:trHeight w:val="315"/>
        </w:trPr>
        <w:tc>
          <w:tcPr>
            <w:tcW w:w="4174" w:type="dxa"/>
            <w:gridSpan w:val="2"/>
            <w:tcBorders>
              <w:top w:val="single" w:sz="8" w:space="0" w:color="auto"/>
              <w:left w:val="nil"/>
              <w:bottom w:val="nil"/>
              <w:right w:val="nil"/>
            </w:tcBorders>
            <w:shd w:val="clear" w:color="000000" w:fill="FFFFFF"/>
            <w:noWrap/>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 </w:t>
            </w:r>
          </w:p>
        </w:tc>
        <w:tc>
          <w:tcPr>
            <w:tcW w:w="106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Razem</w:t>
            </w:r>
          </w:p>
        </w:tc>
        <w:tc>
          <w:tcPr>
            <w:tcW w:w="126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15</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15</w:t>
            </w:r>
          </w:p>
        </w:tc>
        <w:tc>
          <w:tcPr>
            <w:tcW w:w="900" w:type="dxa"/>
            <w:tcBorders>
              <w:top w:val="nil"/>
              <w:left w:val="nil"/>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nil"/>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15</w:t>
            </w:r>
          </w:p>
        </w:tc>
      </w:tr>
      <w:tr w:rsidR="00252ACA" w:rsidRPr="00252ACA" w:rsidTr="00BD4CEE">
        <w:trPr>
          <w:trHeight w:val="735"/>
        </w:trPr>
        <w:tc>
          <w:tcPr>
            <w:tcW w:w="177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II. WSKAŹNIKI PŁYNNOŚCI</w:t>
            </w:r>
          </w:p>
        </w:tc>
        <w:tc>
          <w:tcPr>
            <w:tcW w:w="2400" w:type="dxa"/>
            <w:tcBorders>
              <w:top w:val="single" w:sz="8" w:space="0" w:color="auto"/>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bieżącej płynności                                           </w:t>
            </w:r>
          </w:p>
        </w:tc>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5,21</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5,83</w:t>
            </w:r>
          </w:p>
        </w:tc>
        <w:tc>
          <w:tcPr>
            <w:tcW w:w="900" w:type="dxa"/>
            <w:tcBorders>
              <w:top w:val="single" w:sz="8" w:space="0" w:color="auto"/>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6,79</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BD4CEE">
        <w:trPr>
          <w:trHeight w:val="720"/>
        </w:trPr>
        <w:tc>
          <w:tcPr>
            <w:tcW w:w="1774" w:type="dxa"/>
            <w:vMerge/>
            <w:tcBorders>
              <w:top w:val="single" w:sz="8" w:space="0" w:color="auto"/>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p>
        </w:tc>
        <w:tc>
          <w:tcPr>
            <w:tcW w:w="2400" w:type="dxa"/>
            <w:tcBorders>
              <w:top w:val="nil"/>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szybkiej płynności</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5,20</w:t>
            </w:r>
          </w:p>
        </w:tc>
        <w:tc>
          <w:tcPr>
            <w:tcW w:w="126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nil"/>
              <w:left w:val="nil"/>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5,81</w:t>
            </w:r>
          </w:p>
        </w:tc>
        <w:tc>
          <w:tcPr>
            <w:tcW w:w="900" w:type="dxa"/>
            <w:tcBorders>
              <w:top w:val="nil"/>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6,78</w:t>
            </w:r>
          </w:p>
        </w:tc>
        <w:tc>
          <w:tcPr>
            <w:tcW w:w="90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BD4CEE">
        <w:trPr>
          <w:trHeight w:val="360"/>
        </w:trPr>
        <w:tc>
          <w:tcPr>
            <w:tcW w:w="4174" w:type="dxa"/>
            <w:gridSpan w:val="2"/>
            <w:tcBorders>
              <w:top w:val="single" w:sz="8" w:space="0" w:color="auto"/>
              <w:left w:val="nil"/>
              <w:bottom w:val="nil"/>
              <w:right w:val="nil"/>
            </w:tcBorders>
            <w:shd w:val="clear" w:color="000000" w:fill="FFFFFF"/>
            <w:noWrap/>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lastRenderedPageBreak/>
              <w:t> </w:t>
            </w:r>
          </w:p>
        </w:tc>
        <w:tc>
          <w:tcPr>
            <w:tcW w:w="106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Razem</w:t>
            </w:r>
          </w:p>
        </w:tc>
        <w:tc>
          <w:tcPr>
            <w:tcW w:w="126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c>
          <w:tcPr>
            <w:tcW w:w="90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r>
      <w:tr w:rsidR="00252ACA" w:rsidRPr="00252ACA" w:rsidTr="00BD4CEE">
        <w:trPr>
          <w:trHeight w:val="945"/>
        </w:trPr>
        <w:tc>
          <w:tcPr>
            <w:tcW w:w="177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III. WSKAŹNIKI EFEKTYWNOŚCI</w:t>
            </w:r>
          </w:p>
        </w:tc>
        <w:tc>
          <w:tcPr>
            <w:tcW w:w="2400" w:type="dxa"/>
            <w:tcBorders>
              <w:top w:val="single" w:sz="8" w:space="0" w:color="auto"/>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b/>
                <w:bCs/>
                <w:lang w:eastAsia="pl-PL"/>
              </w:rPr>
            </w:pPr>
            <w:r w:rsidRPr="00252ACA">
              <w:rPr>
                <w:rFonts w:ascii="Garamond" w:eastAsia="Times New Roman" w:hAnsi="Garamond" w:cs="Arial"/>
                <w:b/>
                <w:bCs/>
                <w:lang w:eastAsia="pl-PL"/>
              </w:rPr>
              <w:t xml:space="preserve">Wskaźnik rotacji należności                                     (w dniach)                           </w:t>
            </w:r>
          </w:p>
        </w:tc>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w:t>
            </w:r>
          </w:p>
        </w:tc>
        <w:tc>
          <w:tcPr>
            <w:tcW w:w="900" w:type="dxa"/>
            <w:tcBorders>
              <w:top w:val="single" w:sz="8" w:space="0" w:color="auto"/>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r>
      <w:tr w:rsidR="00252ACA" w:rsidRPr="00252ACA" w:rsidTr="00BD4CEE">
        <w:trPr>
          <w:trHeight w:val="975"/>
        </w:trPr>
        <w:tc>
          <w:tcPr>
            <w:tcW w:w="1774" w:type="dxa"/>
            <w:vMerge/>
            <w:tcBorders>
              <w:top w:val="single" w:sz="8" w:space="0" w:color="auto"/>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p>
        </w:tc>
        <w:tc>
          <w:tcPr>
            <w:tcW w:w="2400" w:type="dxa"/>
            <w:tcBorders>
              <w:top w:val="nil"/>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rotacji zobowiązań                                          (w dniach)</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w:t>
            </w:r>
          </w:p>
        </w:tc>
        <w:tc>
          <w:tcPr>
            <w:tcW w:w="126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900" w:type="dxa"/>
            <w:tcBorders>
              <w:top w:val="nil"/>
              <w:left w:val="nil"/>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w:t>
            </w:r>
          </w:p>
        </w:tc>
        <w:tc>
          <w:tcPr>
            <w:tcW w:w="900" w:type="dxa"/>
            <w:tcBorders>
              <w:top w:val="nil"/>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5</w:t>
            </w:r>
          </w:p>
        </w:tc>
        <w:tc>
          <w:tcPr>
            <w:tcW w:w="90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r>
      <w:tr w:rsidR="00252ACA" w:rsidRPr="00252ACA" w:rsidTr="00BD4CEE">
        <w:trPr>
          <w:trHeight w:val="390"/>
        </w:trPr>
        <w:tc>
          <w:tcPr>
            <w:tcW w:w="4174" w:type="dxa"/>
            <w:gridSpan w:val="2"/>
            <w:tcBorders>
              <w:top w:val="single" w:sz="8" w:space="0" w:color="auto"/>
              <w:left w:val="nil"/>
              <w:bottom w:val="nil"/>
              <w:right w:val="nil"/>
            </w:tcBorders>
            <w:shd w:val="clear" w:color="000000" w:fill="FFFFFF"/>
            <w:noWrap/>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 </w:t>
            </w:r>
          </w:p>
        </w:tc>
        <w:tc>
          <w:tcPr>
            <w:tcW w:w="106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Razem</w:t>
            </w:r>
          </w:p>
        </w:tc>
        <w:tc>
          <w:tcPr>
            <w:tcW w:w="126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10</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10</w:t>
            </w:r>
          </w:p>
        </w:tc>
        <w:tc>
          <w:tcPr>
            <w:tcW w:w="90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10</w:t>
            </w:r>
          </w:p>
        </w:tc>
      </w:tr>
      <w:tr w:rsidR="00252ACA" w:rsidRPr="00252ACA" w:rsidTr="00BD4CEE">
        <w:trPr>
          <w:trHeight w:val="600"/>
        </w:trPr>
        <w:tc>
          <w:tcPr>
            <w:tcW w:w="177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IV. WSKAŹNIKI ZADŁUŻENIA</w:t>
            </w:r>
          </w:p>
        </w:tc>
        <w:tc>
          <w:tcPr>
            <w:tcW w:w="2400" w:type="dxa"/>
            <w:tcBorders>
              <w:top w:val="single" w:sz="8" w:space="0" w:color="auto"/>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zadłużenia aktywów (%)                          </w:t>
            </w:r>
          </w:p>
        </w:tc>
        <w:tc>
          <w:tcPr>
            <w:tcW w:w="1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12</w:t>
            </w:r>
            <w:r w:rsidR="00252ACA" w:rsidRPr="00252ACA">
              <w:rPr>
                <w:rFonts w:ascii="Garamond" w:eastAsia="Times New Roman" w:hAnsi="Garamond" w:cs="Arial"/>
                <w:lang w:eastAsia="pl-PL"/>
              </w:rPr>
              <w:t>%</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12</w:t>
            </w:r>
            <w:r w:rsidR="00252ACA" w:rsidRPr="00252ACA">
              <w:rPr>
                <w:rFonts w:ascii="Garamond" w:eastAsia="Times New Roman" w:hAnsi="Garamond" w:cs="Arial"/>
                <w:lang w:eastAsia="pl-PL"/>
              </w:rPr>
              <w:t>%</w:t>
            </w:r>
          </w:p>
        </w:tc>
        <w:tc>
          <w:tcPr>
            <w:tcW w:w="900" w:type="dxa"/>
            <w:tcBorders>
              <w:top w:val="single" w:sz="8" w:space="0" w:color="auto"/>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52ACA" w:rsidRPr="00252ACA" w:rsidRDefault="007A1B85" w:rsidP="00252ACA">
            <w:pPr>
              <w:spacing w:after="0" w:line="240" w:lineRule="auto"/>
              <w:jc w:val="center"/>
              <w:rPr>
                <w:rFonts w:ascii="Garamond" w:eastAsia="Times New Roman" w:hAnsi="Garamond" w:cs="Arial"/>
                <w:lang w:eastAsia="pl-PL"/>
              </w:rPr>
            </w:pPr>
            <w:r>
              <w:rPr>
                <w:rFonts w:ascii="Garamond" w:eastAsia="Times New Roman" w:hAnsi="Garamond" w:cs="Arial"/>
                <w:lang w:eastAsia="pl-PL"/>
              </w:rPr>
              <w:t>12</w:t>
            </w:r>
            <w:r w:rsidR="00252ACA" w:rsidRPr="00252ACA">
              <w:rPr>
                <w:rFonts w:ascii="Garamond" w:eastAsia="Times New Roman" w:hAnsi="Garamond" w:cs="Arial"/>
                <w:lang w:eastAsia="pl-PL"/>
              </w:rPr>
              <w:t>%</w:t>
            </w:r>
          </w:p>
        </w:tc>
        <w:tc>
          <w:tcPr>
            <w:tcW w:w="900" w:type="dxa"/>
            <w:tcBorders>
              <w:top w:val="single" w:sz="8" w:space="0" w:color="auto"/>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BD4CEE">
        <w:trPr>
          <w:trHeight w:val="660"/>
        </w:trPr>
        <w:tc>
          <w:tcPr>
            <w:tcW w:w="1774" w:type="dxa"/>
            <w:vMerge/>
            <w:tcBorders>
              <w:top w:val="single" w:sz="8" w:space="0" w:color="auto"/>
              <w:left w:val="single" w:sz="8" w:space="0" w:color="auto"/>
              <w:bottom w:val="single" w:sz="8" w:space="0" w:color="000000"/>
              <w:right w:val="single" w:sz="8" w:space="0" w:color="auto"/>
            </w:tcBorders>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p>
        </w:tc>
        <w:tc>
          <w:tcPr>
            <w:tcW w:w="2400" w:type="dxa"/>
            <w:tcBorders>
              <w:top w:val="nil"/>
              <w:left w:val="nil"/>
              <w:bottom w:val="single" w:sz="4" w:space="0" w:color="auto"/>
              <w:right w:val="nil"/>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wypłacalności</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0,</w:t>
            </w:r>
            <w:r w:rsidR="007A1B85">
              <w:rPr>
                <w:rFonts w:ascii="Garamond" w:eastAsia="Times New Roman" w:hAnsi="Garamond" w:cs="Arial"/>
                <w:lang w:eastAsia="pl-PL"/>
              </w:rPr>
              <w:t>17</w:t>
            </w:r>
          </w:p>
        </w:tc>
        <w:tc>
          <w:tcPr>
            <w:tcW w:w="126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0,1</w:t>
            </w:r>
            <w:r w:rsidR="007A1B85">
              <w:rPr>
                <w:rFonts w:ascii="Garamond" w:eastAsia="Times New Roman" w:hAnsi="Garamond" w:cs="Arial"/>
                <w:lang w:eastAsia="pl-PL"/>
              </w:rPr>
              <w:t>6</w:t>
            </w:r>
          </w:p>
        </w:tc>
        <w:tc>
          <w:tcPr>
            <w:tcW w:w="900" w:type="dxa"/>
            <w:tcBorders>
              <w:top w:val="nil"/>
              <w:left w:val="nil"/>
              <w:bottom w:val="single" w:sz="4"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0,1</w:t>
            </w:r>
            <w:r w:rsidR="007A1B85">
              <w:rPr>
                <w:rFonts w:ascii="Garamond" w:eastAsia="Times New Roman" w:hAnsi="Garamond" w:cs="Arial"/>
                <w:lang w:eastAsia="pl-PL"/>
              </w:rPr>
              <w:t>5</w:t>
            </w:r>
          </w:p>
        </w:tc>
        <w:tc>
          <w:tcPr>
            <w:tcW w:w="90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BD4CEE">
        <w:trPr>
          <w:trHeight w:val="540"/>
        </w:trPr>
        <w:tc>
          <w:tcPr>
            <w:tcW w:w="4174" w:type="dxa"/>
            <w:gridSpan w:val="2"/>
            <w:tcBorders>
              <w:top w:val="single" w:sz="8" w:space="0" w:color="auto"/>
              <w:left w:val="nil"/>
              <w:bottom w:val="nil"/>
              <w:right w:val="nil"/>
            </w:tcBorders>
            <w:shd w:val="clear" w:color="000000" w:fill="FFFFFF"/>
            <w:noWrap/>
            <w:vAlign w:val="center"/>
            <w:hideMark/>
          </w:tcPr>
          <w:p w:rsidR="00252ACA" w:rsidRPr="00252ACA" w:rsidRDefault="00252ACA" w:rsidP="00252ACA">
            <w:pPr>
              <w:spacing w:after="0" w:line="240" w:lineRule="auto"/>
              <w:rPr>
                <w:rFonts w:ascii="Garamond" w:eastAsia="Times New Roman" w:hAnsi="Garamond" w:cs="Arial"/>
                <w:b/>
                <w:bCs/>
                <w:sz w:val="20"/>
                <w:szCs w:val="20"/>
                <w:lang w:eastAsia="pl-PL"/>
              </w:rPr>
            </w:pPr>
            <w:r w:rsidRPr="00252ACA">
              <w:rPr>
                <w:rFonts w:ascii="Garamond" w:eastAsia="Times New Roman" w:hAnsi="Garamond" w:cs="Arial"/>
                <w:b/>
                <w:bCs/>
                <w:sz w:val="20"/>
                <w:szCs w:val="20"/>
                <w:lang w:eastAsia="pl-PL"/>
              </w:rPr>
              <w:t> </w:t>
            </w:r>
          </w:p>
        </w:tc>
        <w:tc>
          <w:tcPr>
            <w:tcW w:w="106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Razem</w:t>
            </w:r>
          </w:p>
        </w:tc>
        <w:tc>
          <w:tcPr>
            <w:tcW w:w="126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nil"/>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c>
          <w:tcPr>
            <w:tcW w:w="900" w:type="dxa"/>
            <w:tcBorders>
              <w:top w:val="single" w:sz="8" w:space="0" w:color="auto"/>
              <w:left w:val="single" w:sz="8" w:space="0" w:color="auto"/>
              <w:bottom w:val="single" w:sz="8" w:space="0" w:color="auto"/>
              <w:right w:val="nil"/>
            </w:tcBorders>
            <w:shd w:val="clear" w:color="000000" w:fill="969696"/>
            <w:vAlign w:val="center"/>
            <w:hideMark/>
          </w:tcPr>
          <w:p w:rsidR="00252ACA" w:rsidRPr="00252ACA" w:rsidRDefault="00252ACA" w:rsidP="00252ACA">
            <w:pPr>
              <w:spacing w:after="0" w:line="240" w:lineRule="auto"/>
              <w:rPr>
                <w:rFonts w:ascii="Garamond" w:eastAsia="Times New Roman" w:hAnsi="Garamond" w:cs="Arial"/>
                <w:b/>
                <w:bCs/>
                <w:color w:val="000000"/>
                <w:sz w:val="20"/>
                <w:szCs w:val="20"/>
                <w:lang w:eastAsia="pl-PL"/>
              </w:rPr>
            </w:pPr>
            <w:r w:rsidRPr="00252ACA">
              <w:rPr>
                <w:rFonts w:ascii="Garamond" w:eastAsia="Times New Roman" w:hAnsi="Garamond" w:cs="Arial"/>
                <w:b/>
                <w:bCs/>
                <w:color w:val="000000"/>
                <w:sz w:val="20"/>
                <w:szCs w:val="20"/>
                <w:lang w:eastAsia="pl-PL"/>
              </w:rPr>
              <w:t> </w:t>
            </w:r>
          </w:p>
        </w:tc>
        <w:tc>
          <w:tcPr>
            <w:tcW w:w="900" w:type="dxa"/>
            <w:tcBorders>
              <w:top w:val="single" w:sz="8" w:space="0" w:color="auto"/>
              <w:left w:val="nil"/>
              <w:bottom w:val="single" w:sz="8" w:space="0" w:color="auto"/>
              <w:right w:val="single" w:sz="8" w:space="0" w:color="auto"/>
            </w:tcBorders>
            <w:shd w:val="clear" w:color="000000" w:fill="969696"/>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20</w:t>
            </w:r>
          </w:p>
        </w:tc>
      </w:tr>
      <w:tr w:rsidR="00252ACA" w:rsidRPr="00252ACA" w:rsidTr="00BD4CEE">
        <w:trPr>
          <w:trHeight w:val="420"/>
        </w:trPr>
        <w:tc>
          <w:tcPr>
            <w:tcW w:w="4174" w:type="dxa"/>
            <w:gridSpan w:val="2"/>
            <w:tcBorders>
              <w:top w:val="single" w:sz="8" w:space="0" w:color="auto"/>
              <w:left w:val="single" w:sz="8" w:space="0" w:color="auto"/>
              <w:bottom w:val="single" w:sz="8" w:space="0" w:color="auto"/>
              <w:right w:val="single" w:sz="8" w:space="0" w:color="000000"/>
            </w:tcBorders>
            <w:shd w:val="clear" w:color="000000" w:fill="FCD5B4"/>
            <w:noWrap/>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Łączna wartość punktów</w:t>
            </w:r>
          </w:p>
        </w:tc>
        <w:tc>
          <w:tcPr>
            <w:tcW w:w="2320" w:type="dxa"/>
            <w:gridSpan w:val="2"/>
            <w:tcBorders>
              <w:top w:val="single" w:sz="8" w:space="0" w:color="auto"/>
              <w:left w:val="nil"/>
              <w:bottom w:val="single" w:sz="8" w:space="0" w:color="auto"/>
              <w:right w:val="single" w:sz="8" w:space="0" w:color="000000"/>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1800" w:type="dxa"/>
            <w:gridSpan w:val="2"/>
            <w:tcBorders>
              <w:top w:val="single" w:sz="8" w:space="0" w:color="auto"/>
              <w:left w:val="nil"/>
              <w:bottom w:val="single" w:sz="8" w:space="0" w:color="auto"/>
              <w:right w:val="single" w:sz="8" w:space="0" w:color="000000"/>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1800" w:type="dxa"/>
            <w:gridSpan w:val="2"/>
            <w:tcBorders>
              <w:top w:val="single" w:sz="8" w:space="0" w:color="auto"/>
              <w:left w:val="nil"/>
              <w:bottom w:val="single" w:sz="8" w:space="0" w:color="auto"/>
              <w:right w:val="single" w:sz="8" w:space="0" w:color="000000"/>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r>
    </w:tbl>
    <w:p w:rsidR="00EE1C9B" w:rsidRDefault="00EE1C9B" w:rsidP="0047283E">
      <w:pPr>
        <w:jc w:val="both"/>
      </w:pPr>
    </w:p>
    <w:tbl>
      <w:tblPr>
        <w:tblW w:w="8600" w:type="dxa"/>
        <w:tblInd w:w="58" w:type="dxa"/>
        <w:tblCellMar>
          <w:left w:w="70" w:type="dxa"/>
          <w:right w:w="70" w:type="dxa"/>
        </w:tblCellMar>
        <w:tblLook w:val="04A0"/>
      </w:tblPr>
      <w:tblGrid>
        <w:gridCol w:w="3360"/>
        <w:gridCol w:w="1260"/>
        <w:gridCol w:w="1320"/>
        <w:gridCol w:w="1420"/>
        <w:gridCol w:w="1240"/>
      </w:tblGrid>
      <w:tr w:rsidR="00252ACA" w:rsidRPr="00252ACA" w:rsidTr="00252ACA">
        <w:trPr>
          <w:trHeight w:val="889"/>
        </w:trPr>
        <w:tc>
          <w:tcPr>
            <w:tcW w:w="3360" w:type="dxa"/>
            <w:tcBorders>
              <w:top w:val="nil"/>
              <w:left w:val="nil"/>
              <w:bottom w:val="nil"/>
              <w:right w:val="nil"/>
            </w:tcBorders>
            <w:shd w:val="clear" w:color="auto" w:fill="auto"/>
            <w:vAlign w:val="center"/>
            <w:hideMark/>
          </w:tcPr>
          <w:p w:rsidR="00252ACA" w:rsidRPr="00252ACA" w:rsidRDefault="00252ACA" w:rsidP="00252ACA">
            <w:pPr>
              <w:spacing w:after="0" w:line="240" w:lineRule="auto"/>
              <w:rPr>
                <w:rFonts w:ascii="Arial" w:eastAsia="Times New Roman" w:hAnsi="Arial" w:cs="Arial"/>
                <w:sz w:val="18"/>
                <w:szCs w:val="18"/>
                <w:lang w:eastAsia="pl-PL"/>
              </w:rPr>
            </w:pPr>
            <w:bookmarkStart w:id="1" w:name="RANGE!A1:E14"/>
            <w:proofErr w:type="spellStart"/>
            <w:r w:rsidRPr="00252ACA">
              <w:rPr>
                <w:rFonts w:ascii="Arial" w:eastAsia="Times New Roman" w:hAnsi="Arial" w:cs="Arial"/>
                <w:sz w:val="18"/>
                <w:szCs w:val="18"/>
                <w:lang w:eastAsia="pl-PL"/>
              </w:rPr>
              <w:t>Konsultant</w:t>
            </w:r>
            <w:proofErr w:type="spellEnd"/>
            <w:r w:rsidRPr="00252ACA">
              <w:rPr>
                <w:rFonts w:ascii="Arial" w:eastAsia="Times New Roman" w:hAnsi="Arial" w:cs="Arial"/>
                <w:sz w:val="18"/>
                <w:szCs w:val="18"/>
                <w:lang w:eastAsia="pl-PL"/>
              </w:rPr>
              <w:t xml:space="preserve"> - Wszelkie prawa zastrzeżone                                                                         Uprawniony do korzystania:</w:t>
            </w:r>
            <w:bookmarkEnd w:id="1"/>
          </w:p>
        </w:tc>
        <w:tc>
          <w:tcPr>
            <w:tcW w:w="52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52ACA" w:rsidRPr="00252ACA" w:rsidRDefault="00252ACA" w:rsidP="00252ACA">
            <w:pPr>
              <w:spacing w:after="240" w:line="240" w:lineRule="auto"/>
              <w:jc w:val="center"/>
              <w:rPr>
                <w:rFonts w:ascii="Arial" w:eastAsia="Times New Roman" w:hAnsi="Arial" w:cs="Arial"/>
                <w:b/>
                <w:bCs/>
                <w:i/>
                <w:iCs/>
                <w:sz w:val="20"/>
                <w:szCs w:val="20"/>
                <w:lang w:eastAsia="pl-PL"/>
              </w:rPr>
            </w:pPr>
            <w:r w:rsidRPr="00252ACA">
              <w:rPr>
                <w:rFonts w:ascii="Arial" w:eastAsia="Times New Roman" w:hAnsi="Arial" w:cs="Arial"/>
                <w:b/>
                <w:bCs/>
                <w:i/>
                <w:iCs/>
                <w:sz w:val="20"/>
                <w:szCs w:val="20"/>
                <w:lang w:eastAsia="pl-PL"/>
              </w:rPr>
              <w:t>Szpital Uzdrowiskowy "Willa Fortuna" w Kołobrzegu</w:t>
            </w:r>
          </w:p>
        </w:tc>
      </w:tr>
      <w:tr w:rsidR="00252ACA" w:rsidRPr="00252ACA" w:rsidTr="00252ACA">
        <w:trPr>
          <w:trHeight w:val="540"/>
        </w:trPr>
        <w:tc>
          <w:tcPr>
            <w:tcW w:w="8600" w:type="dxa"/>
            <w:gridSpan w:val="5"/>
            <w:tcBorders>
              <w:top w:val="nil"/>
              <w:left w:val="nil"/>
              <w:bottom w:val="single" w:sz="8" w:space="0" w:color="auto"/>
              <w:right w:val="nil"/>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TABELA PUNTÓW OGÓŁEM ZA LATA</w:t>
            </w:r>
            <w:r w:rsidR="002D10F0">
              <w:rPr>
                <w:rFonts w:ascii="Garamond" w:eastAsia="Times New Roman" w:hAnsi="Garamond" w:cs="Arial"/>
                <w:b/>
                <w:bCs/>
                <w:color w:val="000000"/>
                <w:lang w:eastAsia="pl-PL"/>
              </w:rPr>
              <w:t xml:space="preserve"> 2022</w:t>
            </w:r>
            <w:r w:rsidRPr="00252ACA">
              <w:rPr>
                <w:rFonts w:ascii="Garamond" w:eastAsia="Times New Roman" w:hAnsi="Garamond" w:cs="Arial"/>
                <w:b/>
                <w:bCs/>
                <w:color w:val="000000"/>
                <w:lang w:eastAsia="pl-PL"/>
              </w:rPr>
              <w:t>-202</w:t>
            </w:r>
            <w:r w:rsidR="002D10F0">
              <w:rPr>
                <w:rFonts w:ascii="Garamond" w:eastAsia="Times New Roman" w:hAnsi="Garamond" w:cs="Arial"/>
                <w:b/>
                <w:bCs/>
                <w:color w:val="000000"/>
                <w:lang w:eastAsia="pl-PL"/>
              </w:rPr>
              <w:t>5</w:t>
            </w:r>
          </w:p>
        </w:tc>
      </w:tr>
      <w:tr w:rsidR="00252ACA" w:rsidRPr="00252ACA" w:rsidTr="00252ACA">
        <w:trPr>
          <w:trHeight w:val="270"/>
        </w:trPr>
        <w:tc>
          <w:tcPr>
            <w:tcW w:w="3360" w:type="dxa"/>
            <w:vMerge w:val="restart"/>
            <w:tcBorders>
              <w:top w:val="nil"/>
              <w:left w:val="single" w:sz="8" w:space="0" w:color="auto"/>
              <w:bottom w:val="single" w:sz="4"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Wskaźniki</w:t>
            </w:r>
          </w:p>
        </w:tc>
        <w:tc>
          <w:tcPr>
            <w:tcW w:w="1260" w:type="dxa"/>
            <w:vMerge w:val="restart"/>
            <w:tcBorders>
              <w:top w:val="nil"/>
              <w:left w:val="single" w:sz="4" w:space="0" w:color="auto"/>
              <w:bottom w:val="single" w:sz="4"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2D10F0">
              <w:rPr>
                <w:rFonts w:ascii="Garamond" w:eastAsia="Times New Roman" w:hAnsi="Garamond" w:cs="Arial"/>
                <w:b/>
                <w:bCs/>
                <w:sz w:val="18"/>
                <w:szCs w:val="18"/>
                <w:lang w:eastAsia="pl-PL"/>
              </w:rPr>
              <w:t>2</w:t>
            </w:r>
          </w:p>
        </w:tc>
        <w:tc>
          <w:tcPr>
            <w:tcW w:w="1320" w:type="dxa"/>
            <w:vMerge w:val="restart"/>
            <w:tcBorders>
              <w:top w:val="nil"/>
              <w:left w:val="single" w:sz="4" w:space="0" w:color="auto"/>
              <w:bottom w:val="single" w:sz="4"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2D10F0">
              <w:rPr>
                <w:rFonts w:ascii="Garamond" w:eastAsia="Times New Roman" w:hAnsi="Garamond" w:cs="Arial"/>
                <w:b/>
                <w:bCs/>
                <w:sz w:val="18"/>
                <w:szCs w:val="18"/>
                <w:lang w:eastAsia="pl-PL"/>
              </w:rPr>
              <w:t>3</w:t>
            </w:r>
          </w:p>
        </w:tc>
        <w:tc>
          <w:tcPr>
            <w:tcW w:w="1420" w:type="dxa"/>
            <w:vMerge w:val="restart"/>
            <w:tcBorders>
              <w:top w:val="nil"/>
              <w:left w:val="single" w:sz="4" w:space="0" w:color="auto"/>
              <w:bottom w:val="single" w:sz="4"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2D10F0">
              <w:rPr>
                <w:rFonts w:ascii="Garamond" w:eastAsia="Times New Roman" w:hAnsi="Garamond" w:cs="Arial"/>
                <w:b/>
                <w:bCs/>
                <w:sz w:val="18"/>
                <w:szCs w:val="18"/>
                <w:lang w:eastAsia="pl-PL"/>
              </w:rPr>
              <w:t>4</w:t>
            </w:r>
          </w:p>
        </w:tc>
        <w:tc>
          <w:tcPr>
            <w:tcW w:w="1240" w:type="dxa"/>
            <w:vMerge w:val="restart"/>
            <w:tcBorders>
              <w:top w:val="nil"/>
              <w:left w:val="single" w:sz="4" w:space="0" w:color="auto"/>
              <w:bottom w:val="single" w:sz="4" w:space="0" w:color="auto"/>
              <w:right w:val="single" w:sz="4" w:space="0" w:color="auto"/>
            </w:tcBorders>
            <w:shd w:val="clear" w:color="000000" w:fill="FCD5B4"/>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2D10F0">
              <w:rPr>
                <w:rFonts w:ascii="Garamond" w:eastAsia="Times New Roman" w:hAnsi="Garamond" w:cs="Arial"/>
                <w:b/>
                <w:bCs/>
                <w:sz w:val="18"/>
                <w:szCs w:val="18"/>
                <w:lang w:eastAsia="pl-PL"/>
              </w:rPr>
              <w:t>5</w:t>
            </w:r>
          </w:p>
        </w:tc>
      </w:tr>
      <w:tr w:rsidR="00252ACA" w:rsidRPr="00252ACA" w:rsidTr="00252ACA">
        <w:trPr>
          <w:trHeight w:val="248"/>
        </w:trPr>
        <w:tc>
          <w:tcPr>
            <w:tcW w:w="3360" w:type="dxa"/>
            <w:vMerge/>
            <w:tcBorders>
              <w:top w:val="nil"/>
              <w:left w:val="single" w:sz="8"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lang w:eastAsia="pl-PL"/>
              </w:rPr>
            </w:pPr>
          </w:p>
        </w:tc>
        <w:tc>
          <w:tcPr>
            <w:tcW w:w="1260" w:type="dxa"/>
            <w:vMerge/>
            <w:tcBorders>
              <w:top w:val="nil"/>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1420" w:type="dxa"/>
            <w:vMerge/>
            <w:tcBorders>
              <w:top w:val="nil"/>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1240" w:type="dxa"/>
            <w:vMerge/>
            <w:tcBorders>
              <w:top w:val="nil"/>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r>
      <w:tr w:rsidR="00252ACA" w:rsidRPr="00252ACA" w:rsidTr="00252ACA">
        <w:trPr>
          <w:trHeight w:val="720"/>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zyskowności  netto  (%)                                                           </w:t>
            </w:r>
          </w:p>
        </w:tc>
        <w:tc>
          <w:tcPr>
            <w:tcW w:w="1260" w:type="dxa"/>
            <w:tcBorders>
              <w:top w:val="nil"/>
              <w:left w:val="nil"/>
              <w:bottom w:val="single" w:sz="4" w:space="0" w:color="auto"/>
              <w:right w:val="single" w:sz="4" w:space="0" w:color="auto"/>
            </w:tcBorders>
            <w:shd w:val="clear" w:color="auto" w:fill="auto"/>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320" w:type="dxa"/>
            <w:tcBorders>
              <w:top w:val="nil"/>
              <w:left w:val="nil"/>
              <w:bottom w:val="single" w:sz="4" w:space="0" w:color="auto"/>
              <w:right w:val="single" w:sz="4" w:space="0" w:color="auto"/>
            </w:tcBorders>
            <w:shd w:val="clear" w:color="auto" w:fill="auto"/>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420" w:type="dxa"/>
            <w:tcBorders>
              <w:top w:val="nil"/>
              <w:left w:val="nil"/>
              <w:bottom w:val="single" w:sz="4" w:space="0" w:color="auto"/>
              <w:right w:val="single" w:sz="4" w:space="0" w:color="auto"/>
            </w:tcBorders>
            <w:shd w:val="clear" w:color="auto" w:fill="auto"/>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945"/>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zyskowności działalności operacyjnej (%)            </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675"/>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zyskowność aktywów (%)</w:t>
            </w:r>
          </w:p>
        </w:tc>
        <w:tc>
          <w:tcPr>
            <w:tcW w:w="126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color w:val="000000"/>
                <w:lang w:eastAsia="pl-PL"/>
              </w:rPr>
            </w:pPr>
            <w:r w:rsidRPr="00252ACA">
              <w:rPr>
                <w:rFonts w:ascii="Garamond" w:eastAsia="Times New Roman" w:hAnsi="Garamond" w:cs="Arial"/>
                <w:color w:val="000000"/>
                <w:lang w:eastAsia="pl-PL"/>
              </w:rPr>
              <w:t>5</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14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color w:val="000000"/>
                <w:lang w:eastAsia="pl-PL"/>
              </w:rPr>
            </w:pPr>
            <w:r w:rsidRPr="00252ACA">
              <w:rPr>
                <w:rFonts w:ascii="Garamond" w:eastAsia="Times New Roman" w:hAnsi="Garamond" w:cs="Arial"/>
                <w:color w:val="000000"/>
                <w:lang w:eastAsia="pl-PL"/>
              </w:rPr>
              <w:t>5</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735"/>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bieżącej płynności                                           </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720"/>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szybkiej płynności</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645"/>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rotacji należności  (w dniach)                           </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r>
      <w:tr w:rsidR="00252ACA" w:rsidRPr="00252ACA" w:rsidTr="00252ACA">
        <w:trPr>
          <w:trHeight w:val="660"/>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rotacji zobowiązań  (w dniach)</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r>
      <w:tr w:rsidR="00252ACA" w:rsidRPr="00252ACA" w:rsidTr="00252ACA">
        <w:trPr>
          <w:trHeight w:val="600"/>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Wskaźnik zadłużenia aktywów (%)                          </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660"/>
        </w:trPr>
        <w:tc>
          <w:tcPr>
            <w:tcW w:w="336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Wskaźnik wypłacalności</w:t>
            </w:r>
          </w:p>
        </w:tc>
        <w:tc>
          <w:tcPr>
            <w:tcW w:w="126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320" w:type="dxa"/>
            <w:tcBorders>
              <w:top w:val="nil"/>
              <w:left w:val="nil"/>
              <w:bottom w:val="single" w:sz="4" w:space="0" w:color="auto"/>
              <w:right w:val="single" w:sz="4"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420" w:type="dxa"/>
            <w:tcBorders>
              <w:top w:val="nil"/>
              <w:left w:val="nil"/>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1240" w:type="dxa"/>
            <w:tcBorders>
              <w:top w:val="nil"/>
              <w:left w:val="nil"/>
              <w:bottom w:val="single" w:sz="4" w:space="0" w:color="auto"/>
              <w:right w:val="single" w:sz="8" w:space="0" w:color="auto"/>
            </w:tcBorders>
            <w:shd w:val="clear" w:color="000000" w:fill="FFFFFF"/>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570"/>
        </w:trPr>
        <w:tc>
          <w:tcPr>
            <w:tcW w:w="3360" w:type="dxa"/>
            <w:tcBorders>
              <w:top w:val="nil"/>
              <w:left w:val="single" w:sz="8" w:space="0" w:color="auto"/>
              <w:bottom w:val="single" w:sz="8" w:space="0" w:color="auto"/>
              <w:right w:val="single" w:sz="4" w:space="0" w:color="auto"/>
            </w:tcBorders>
            <w:shd w:val="clear" w:color="000000" w:fill="99CC00"/>
            <w:noWrap/>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lastRenderedPageBreak/>
              <w:t>RAZEM</w:t>
            </w:r>
          </w:p>
        </w:tc>
        <w:tc>
          <w:tcPr>
            <w:tcW w:w="1260" w:type="dxa"/>
            <w:tcBorders>
              <w:top w:val="nil"/>
              <w:left w:val="nil"/>
              <w:bottom w:val="single" w:sz="8" w:space="0" w:color="auto"/>
              <w:right w:val="single" w:sz="4" w:space="0" w:color="auto"/>
            </w:tcBorders>
            <w:shd w:val="clear" w:color="000000" w:fill="99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1320" w:type="dxa"/>
            <w:tcBorders>
              <w:top w:val="nil"/>
              <w:left w:val="nil"/>
              <w:bottom w:val="single" w:sz="8" w:space="0" w:color="auto"/>
              <w:right w:val="single" w:sz="4" w:space="0" w:color="auto"/>
            </w:tcBorders>
            <w:shd w:val="clear" w:color="000000" w:fill="99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1420" w:type="dxa"/>
            <w:tcBorders>
              <w:top w:val="nil"/>
              <w:left w:val="nil"/>
              <w:bottom w:val="single" w:sz="8" w:space="0" w:color="auto"/>
              <w:right w:val="single" w:sz="4" w:space="0" w:color="auto"/>
            </w:tcBorders>
            <w:shd w:val="clear" w:color="000000" w:fill="99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1240" w:type="dxa"/>
            <w:tcBorders>
              <w:top w:val="nil"/>
              <w:left w:val="nil"/>
              <w:bottom w:val="single" w:sz="8" w:space="0" w:color="auto"/>
              <w:right w:val="single" w:sz="4" w:space="0" w:color="auto"/>
            </w:tcBorders>
            <w:shd w:val="clear" w:color="000000" w:fill="99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r>
    </w:tbl>
    <w:p w:rsidR="000464A9" w:rsidRDefault="000464A9" w:rsidP="0047283E">
      <w:pPr>
        <w:jc w:val="both"/>
      </w:pPr>
    </w:p>
    <w:p w:rsidR="003E2694" w:rsidRPr="00527872" w:rsidRDefault="005643D0" w:rsidP="0047283E">
      <w:pPr>
        <w:jc w:val="both"/>
        <w:rPr>
          <w:b/>
          <w:sz w:val="24"/>
        </w:rPr>
      </w:pPr>
      <w:r w:rsidRPr="00527872">
        <w:rPr>
          <w:b/>
          <w:sz w:val="24"/>
        </w:rPr>
        <w:t>Podsumowanie</w:t>
      </w:r>
    </w:p>
    <w:p w:rsidR="00B25724" w:rsidRPr="00344544" w:rsidRDefault="00B25724" w:rsidP="002A2232">
      <w:pPr>
        <w:spacing w:after="0" w:line="240" w:lineRule="auto"/>
        <w:jc w:val="both"/>
        <w:rPr>
          <w:rFonts w:ascii="Times New Roman" w:hAnsi="Times New Roman" w:cs="Times New Roman"/>
          <w:color w:val="000000"/>
          <w:sz w:val="24"/>
          <w:szCs w:val="24"/>
        </w:rPr>
      </w:pPr>
      <w:r w:rsidRPr="00344544">
        <w:rPr>
          <w:rFonts w:ascii="Times New Roman" w:hAnsi="Times New Roman" w:cs="Times New Roman"/>
          <w:color w:val="000000"/>
          <w:sz w:val="24"/>
          <w:szCs w:val="24"/>
        </w:rPr>
        <w:t xml:space="preserve">Podstawową działalnością samodzielnego zakładu opieki zdrowotnej jest działalność lecznicza polegająca na udzielaniu świadczeń zdrowotnych finansowanych ze środków  publicznych </w:t>
      </w:r>
      <w:r w:rsidR="00F5524E">
        <w:rPr>
          <w:rFonts w:ascii="Times New Roman" w:hAnsi="Times New Roman" w:cs="Times New Roman"/>
          <w:color w:val="000000"/>
          <w:sz w:val="24"/>
          <w:szCs w:val="24"/>
        </w:rPr>
        <w:t>i prywatnych</w:t>
      </w:r>
      <w:r w:rsidRPr="00344544">
        <w:rPr>
          <w:rFonts w:ascii="Times New Roman" w:hAnsi="Times New Roman" w:cs="Times New Roman"/>
          <w:color w:val="000000"/>
          <w:sz w:val="24"/>
          <w:szCs w:val="24"/>
        </w:rPr>
        <w:t>.</w:t>
      </w:r>
      <w:r w:rsidRPr="00344544">
        <w:rPr>
          <w:rFonts w:ascii="Times New Roman" w:hAnsi="Times New Roman" w:cs="Times New Roman"/>
          <w:sz w:val="24"/>
          <w:szCs w:val="24"/>
        </w:rPr>
        <w:t xml:space="preserve"> </w:t>
      </w:r>
      <w:r w:rsidRPr="00344544">
        <w:rPr>
          <w:rFonts w:ascii="Times New Roman" w:hAnsi="Times New Roman" w:cs="Times New Roman"/>
          <w:color w:val="000000"/>
          <w:sz w:val="24"/>
          <w:szCs w:val="24"/>
        </w:rPr>
        <w:t xml:space="preserve">Samodzielny publiczny zakład </w:t>
      </w:r>
      <w:r>
        <w:rPr>
          <w:rFonts w:ascii="Times New Roman" w:hAnsi="Times New Roman" w:cs="Times New Roman"/>
          <w:color w:val="000000"/>
          <w:sz w:val="24"/>
          <w:szCs w:val="24"/>
        </w:rPr>
        <w:t>opieki zdrowotne</w:t>
      </w:r>
      <w:r w:rsidR="00844E64">
        <w:rPr>
          <w:rFonts w:ascii="Times New Roman" w:hAnsi="Times New Roman" w:cs="Times New Roman"/>
          <w:color w:val="000000"/>
          <w:sz w:val="24"/>
          <w:szCs w:val="24"/>
        </w:rPr>
        <w:t>j</w:t>
      </w:r>
      <w:r w:rsidRPr="00344544">
        <w:rPr>
          <w:rFonts w:ascii="Times New Roman" w:hAnsi="Times New Roman" w:cs="Times New Roman"/>
          <w:color w:val="000000"/>
          <w:sz w:val="24"/>
          <w:szCs w:val="24"/>
        </w:rPr>
        <w:t xml:space="preserve"> jest jednostką </w:t>
      </w:r>
      <w:r w:rsidR="0066594C">
        <w:rPr>
          <w:rFonts w:ascii="Times New Roman" w:hAnsi="Times New Roman" w:cs="Times New Roman"/>
          <w:color w:val="000000"/>
          <w:sz w:val="24"/>
          <w:szCs w:val="24"/>
        </w:rPr>
        <w:t>nastawioną na osiągnięcie zysku</w:t>
      </w:r>
      <w:r w:rsidRPr="00344544">
        <w:rPr>
          <w:rFonts w:ascii="Times New Roman" w:hAnsi="Times New Roman" w:cs="Times New Roman"/>
          <w:color w:val="000000"/>
          <w:sz w:val="24"/>
          <w:szCs w:val="24"/>
        </w:rPr>
        <w:t>.</w:t>
      </w:r>
    </w:p>
    <w:p w:rsidR="00B25724" w:rsidRPr="00344544" w:rsidRDefault="00B25724" w:rsidP="002A2232">
      <w:pPr>
        <w:spacing w:after="0" w:line="240" w:lineRule="auto"/>
        <w:jc w:val="both"/>
        <w:rPr>
          <w:rFonts w:ascii="Times New Roman" w:hAnsi="Times New Roman" w:cs="Times New Roman"/>
          <w:sz w:val="24"/>
          <w:szCs w:val="24"/>
        </w:rPr>
      </w:pPr>
      <w:r w:rsidRPr="00344544">
        <w:rPr>
          <w:rFonts w:ascii="Times New Roman" w:hAnsi="Times New Roman" w:cs="Times New Roman"/>
          <w:sz w:val="24"/>
          <w:szCs w:val="24"/>
        </w:rPr>
        <w:t>Zasadniczym cele</w:t>
      </w:r>
      <w:r w:rsidR="0066594C">
        <w:rPr>
          <w:rFonts w:ascii="Times New Roman" w:hAnsi="Times New Roman" w:cs="Times New Roman"/>
          <w:sz w:val="24"/>
          <w:szCs w:val="24"/>
        </w:rPr>
        <w:t>m działania  szpitala uzdrowiskowego realizującego</w:t>
      </w:r>
      <w:r w:rsidR="00442F4F">
        <w:rPr>
          <w:rFonts w:ascii="Times New Roman" w:hAnsi="Times New Roman" w:cs="Times New Roman"/>
          <w:sz w:val="24"/>
          <w:szCs w:val="24"/>
        </w:rPr>
        <w:t xml:space="preserve"> usługi w 65</w:t>
      </w:r>
      <w:r>
        <w:rPr>
          <w:rFonts w:ascii="Times New Roman" w:hAnsi="Times New Roman" w:cs="Times New Roman"/>
          <w:sz w:val="24"/>
          <w:szCs w:val="24"/>
        </w:rPr>
        <w:t xml:space="preserve">% finansowane </w:t>
      </w:r>
      <w:r w:rsidRPr="00344544">
        <w:rPr>
          <w:rFonts w:ascii="Times New Roman" w:hAnsi="Times New Roman" w:cs="Times New Roman"/>
          <w:sz w:val="24"/>
          <w:szCs w:val="24"/>
        </w:rPr>
        <w:t>ze środków NFZ jest zaspokajanie w sposób ciągły i trwały potrzeb obywateli w zakresie ochrony zdrowia w ramach gwarantowanych prze</w:t>
      </w:r>
      <w:r w:rsidR="00766D16">
        <w:rPr>
          <w:rFonts w:ascii="Times New Roman" w:hAnsi="Times New Roman" w:cs="Times New Roman"/>
          <w:sz w:val="24"/>
          <w:szCs w:val="24"/>
        </w:rPr>
        <w:t>z państ</w:t>
      </w:r>
      <w:r w:rsidR="002B6587">
        <w:rPr>
          <w:rFonts w:ascii="Times New Roman" w:hAnsi="Times New Roman" w:cs="Times New Roman"/>
          <w:sz w:val="24"/>
          <w:szCs w:val="24"/>
        </w:rPr>
        <w:t xml:space="preserve">wo świadczeń zdrowotnych oraz </w:t>
      </w:r>
      <w:r w:rsidR="00442F4F">
        <w:rPr>
          <w:rFonts w:ascii="Times New Roman" w:hAnsi="Times New Roman" w:cs="Times New Roman"/>
          <w:sz w:val="24"/>
          <w:szCs w:val="24"/>
        </w:rPr>
        <w:t>35</w:t>
      </w:r>
      <w:r w:rsidR="00766D16">
        <w:rPr>
          <w:rFonts w:ascii="Times New Roman" w:hAnsi="Times New Roman" w:cs="Times New Roman"/>
          <w:sz w:val="24"/>
          <w:szCs w:val="24"/>
        </w:rPr>
        <w:t xml:space="preserve">% finansowane </w:t>
      </w:r>
      <w:r w:rsidR="00766D16" w:rsidRPr="00344544">
        <w:rPr>
          <w:rFonts w:ascii="Times New Roman" w:hAnsi="Times New Roman" w:cs="Times New Roman"/>
          <w:sz w:val="24"/>
          <w:szCs w:val="24"/>
        </w:rPr>
        <w:t>ze środków</w:t>
      </w:r>
      <w:r w:rsidR="00766D16">
        <w:rPr>
          <w:rFonts w:ascii="Times New Roman" w:hAnsi="Times New Roman" w:cs="Times New Roman"/>
          <w:sz w:val="24"/>
          <w:szCs w:val="24"/>
        </w:rPr>
        <w:t xml:space="preserve"> prywatnych (pobyty komercyjne). </w:t>
      </w:r>
      <w:r w:rsidR="0066594C">
        <w:rPr>
          <w:rFonts w:ascii="Times New Roman" w:hAnsi="Times New Roman" w:cs="Times New Roman"/>
          <w:sz w:val="24"/>
          <w:szCs w:val="24"/>
        </w:rPr>
        <w:t>Szpital</w:t>
      </w:r>
      <w:r w:rsidRPr="00344544">
        <w:rPr>
          <w:rFonts w:ascii="Times New Roman" w:hAnsi="Times New Roman" w:cs="Times New Roman"/>
          <w:sz w:val="24"/>
          <w:szCs w:val="24"/>
        </w:rPr>
        <w:t xml:space="preserve"> udziela świadczeń zdrowotnych finansowanych ze środków publicznych ubezpieczonym oraz innym osobom uprawnionym do tych świadczeń na podstawie odrębnych przepisó</w:t>
      </w:r>
      <w:r>
        <w:rPr>
          <w:rFonts w:ascii="Times New Roman" w:hAnsi="Times New Roman" w:cs="Times New Roman"/>
          <w:sz w:val="24"/>
          <w:szCs w:val="24"/>
        </w:rPr>
        <w:t>w nieodpłatnie i</w:t>
      </w:r>
      <w:r w:rsidRPr="00344544">
        <w:rPr>
          <w:rFonts w:ascii="Times New Roman" w:hAnsi="Times New Roman" w:cs="Times New Roman"/>
          <w:sz w:val="24"/>
          <w:szCs w:val="24"/>
        </w:rPr>
        <w:t xml:space="preserve"> całkowitą odpłatnością. </w:t>
      </w:r>
    </w:p>
    <w:p w:rsidR="00F5524E" w:rsidRDefault="0066594C" w:rsidP="002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szpitala uzdrowiskowego</w:t>
      </w:r>
      <w:r w:rsidR="00B25724" w:rsidRPr="00344544">
        <w:rPr>
          <w:rFonts w:ascii="Times New Roman" w:hAnsi="Times New Roman" w:cs="Times New Roman"/>
          <w:sz w:val="24"/>
          <w:szCs w:val="24"/>
        </w:rPr>
        <w:t xml:space="preserve"> jest równoważenie kosztów przychodami. W związku </w:t>
      </w:r>
      <w:r w:rsidR="00DF5D10">
        <w:rPr>
          <w:rFonts w:ascii="Times New Roman" w:hAnsi="Times New Roman" w:cs="Times New Roman"/>
          <w:sz w:val="24"/>
          <w:szCs w:val="24"/>
        </w:rPr>
        <w:t>z powyższym uz</w:t>
      </w:r>
      <w:r w:rsidR="00442F4F">
        <w:rPr>
          <w:rFonts w:ascii="Times New Roman" w:hAnsi="Times New Roman" w:cs="Times New Roman"/>
          <w:sz w:val="24"/>
          <w:szCs w:val="24"/>
        </w:rPr>
        <w:t>yskanie w 2022</w:t>
      </w:r>
      <w:r w:rsidR="00B25724" w:rsidRPr="00344544">
        <w:rPr>
          <w:rFonts w:ascii="Times New Roman" w:hAnsi="Times New Roman" w:cs="Times New Roman"/>
          <w:sz w:val="24"/>
          <w:szCs w:val="24"/>
        </w:rPr>
        <w:t>r</w:t>
      </w:r>
      <w:r w:rsidR="003269ED">
        <w:rPr>
          <w:rFonts w:ascii="Times New Roman" w:hAnsi="Times New Roman" w:cs="Times New Roman"/>
          <w:sz w:val="24"/>
          <w:szCs w:val="24"/>
        </w:rPr>
        <w:t>.</w:t>
      </w:r>
      <w:r w:rsidR="00865A1A">
        <w:rPr>
          <w:rFonts w:ascii="Times New Roman" w:hAnsi="Times New Roman" w:cs="Times New Roman"/>
          <w:sz w:val="24"/>
          <w:szCs w:val="24"/>
        </w:rPr>
        <w:t xml:space="preserve"> i  w prognozach na lat</w:t>
      </w:r>
      <w:r w:rsidR="00442F4F">
        <w:rPr>
          <w:rFonts w:ascii="Times New Roman" w:hAnsi="Times New Roman" w:cs="Times New Roman"/>
          <w:sz w:val="24"/>
          <w:szCs w:val="24"/>
        </w:rPr>
        <w:t>a 2023-2025</w:t>
      </w:r>
      <w:r w:rsidR="00B25724" w:rsidRPr="00344544">
        <w:rPr>
          <w:rFonts w:ascii="Times New Roman" w:hAnsi="Times New Roman" w:cs="Times New Roman"/>
          <w:sz w:val="24"/>
          <w:szCs w:val="24"/>
        </w:rPr>
        <w:t xml:space="preserve">  </w:t>
      </w:r>
      <w:r w:rsidR="00EE0E72">
        <w:rPr>
          <w:rFonts w:ascii="Times New Roman" w:hAnsi="Times New Roman" w:cs="Times New Roman"/>
          <w:b/>
          <w:sz w:val="24"/>
          <w:szCs w:val="24"/>
        </w:rPr>
        <w:t>65</w:t>
      </w:r>
      <w:r w:rsidR="00B25724" w:rsidRPr="00B25724">
        <w:rPr>
          <w:rFonts w:ascii="Times New Roman" w:hAnsi="Times New Roman" w:cs="Times New Roman"/>
          <w:b/>
          <w:sz w:val="24"/>
          <w:szCs w:val="24"/>
        </w:rPr>
        <w:t>%</w:t>
      </w:r>
      <w:r w:rsidR="00B25724" w:rsidRPr="00344544">
        <w:rPr>
          <w:rFonts w:ascii="Times New Roman" w:hAnsi="Times New Roman" w:cs="Times New Roman"/>
          <w:sz w:val="24"/>
          <w:szCs w:val="24"/>
        </w:rPr>
        <w:t xml:space="preserve"> możliwych punktów w kategorii wskaźników zyskowności przy maksymalnej punktacji wskaźników efektywności i zadłużenia oraz bardzo wysok</w:t>
      </w:r>
      <w:r w:rsidR="00EE0E72">
        <w:rPr>
          <w:rFonts w:ascii="Times New Roman" w:hAnsi="Times New Roman" w:cs="Times New Roman"/>
          <w:sz w:val="24"/>
          <w:szCs w:val="24"/>
        </w:rPr>
        <w:t xml:space="preserve">iej oceną wskaźników płynności </w:t>
      </w:r>
      <w:r w:rsidR="00B25724" w:rsidRPr="00344544">
        <w:rPr>
          <w:rFonts w:ascii="Times New Roman" w:hAnsi="Times New Roman" w:cs="Times New Roman"/>
          <w:sz w:val="24"/>
          <w:szCs w:val="24"/>
        </w:rPr>
        <w:t>świadczy o stabilno</w:t>
      </w:r>
      <w:r>
        <w:rPr>
          <w:rFonts w:ascii="Times New Roman" w:hAnsi="Times New Roman" w:cs="Times New Roman"/>
          <w:sz w:val="24"/>
          <w:szCs w:val="24"/>
        </w:rPr>
        <w:t>ści ekonomiczno-finansowej szpitala uzdrowiskowego</w:t>
      </w:r>
      <w:r w:rsidR="00B25724" w:rsidRPr="00344544">
        <w:rPr>
          <w:rFonts w:ascii="Times New Roman" w:hAnsi="Times New Roman" w:cs="Times New Roman"/>
          <w:sz w:val="24"/>
          <w:szCs w:val="24"/>
        </w:rPr>
        <w:t xml:space="preserve"> i sprawności bieżącego zarządzania jednostką</w:t>
      </w:r>
      <w:bookmarkStart w:id="2" w:name="_GoBack"/>
      <w:bookmarkEnd w:id="2"/>
      <w:r w:rsidR="00B25724">
        <w:rPr>
          <w:rFonts w:ascii="Times New Roman" w:hAnsi="Times New Roman" w:cs="Times New Roman"/>
          <w:sz w:val="24"/>
          <w:szCs w:val="24"/>
        </w:rPr>
        <w:t>.</w:t>
      </w:r>
    </w:p>
    <w:tbl>
      <w:tblPr>
        <w:tblW w:w="8020" w:type="dxa"/>
        <w:tblInd w:w="70" w:type="dxa"/>
        <w:tblCellMar>
          <w:left w:w="70" w:type="dxa"/>
          <w:right w:w="70" w:type="dxa"/>
        </w:tblCellMar>
        <w:tblLook w:val="04A0"/>
      </w:tblPr>
      <w:tblGrid>
        <w:gridCol w:w="4180"/>
        <w:gridCol w:w="960"/>
        <w:gridCol w:w="960"/>
        <w:gridCol w:w="960"/>
        <w:gridCol w:w="960"/>
      </w:tblGrid>
      <w:tr w:rsidR="00252ACA" w:rsidRPr="00252ACA" w:rsidTr="00252ACA">
        <w:trPr>
          <w:trHeight w:val="649"/>
        </w:trPr>
        <w:tc>
          <w:tcPr>
            <w:tcW w:w="8020" w:type="dxa"/>
            <w:gridSpan w:val="5"/>
            <w:tcBorders>
              <w:top w:val="nil"/>
              <w:left w:val="nil"/>
              <w:bottom w:val="nil"/>
              <w:right w:val="nil"/>
            </w:tcBorders>
            <w:shd w:val="clear" w:color="auto" w:fill="auto"/>
            <w:vAlign w:val="center"/>
            <w:hideMark/>
          </w:tcPr>
          <w:p w:rsidR="002A2232" w:rsidRDefault="002A2232" w:rsidP="00252ACA">
            <w:pPr>
              <w:spacing w:after="240" w:line="240" w:lineRule="auto"/>
              <w:jc w:val="center"/>
              <w:rPr>
                <w:rFonts w:ascii="Arial" w:eastAsia="Times New Roman" w:hAnsi="Arial" w:cs="Arial"/>
                <w:b/>
                <w:bCs/>
                <w:i/>
                <w:iCs/>
                <w:sz w:val="20"/>
                <w:szCs w:val="20"/>
                <w:lang w:eastAsia="pl-PL"/>
              </w:rPr>
            </w:pPr>
          </w:p>
          <w:p w:rsidR="00252ACA" w:rsidRPr="00252ACA" w:rsidRDefault="00252ACA" w:rsidP="00252ACA">
            <w:pPr>
              <w:spacing w:after="240" w:line="240" w:lineRule="auto"/>
              <w:jc w:val="center"/>
              <w:rPr>
                <w:rFonts w:ascii="Arial" w:eastAsia="Times New Roman" w:hAnsi="Arial" w:cs="Arial"/>
                <w:b/>
                <w:bCs/>
                <w:i/>
                <w:iCs/>
                <w:sz w:val="20"/>
                <w:szCs w:val="20"/>
                <w:lang w:eastAsia="pl-PL"/>
              </w:rPr>
            </w:pPr>
            <w:r w:rsidRPr="00252ACA">
              <w:rPr>
                <w:rFonts w:ascii="Arial" w:eastAsia="Times New Roman" w:hAnsi="Arial" w:cs="Arial"/>
                <w:b/>
                <w:bCs/>
                <w:i/>
                <w:iCs/>
                <w:sz w:val="20"/>
                <w:szCs w:val="20"/>
                <w:lang w:eastAsia="pl-PL"/>
              </w:rPr>
              <w:t>Szpital Uzdrowiskowy "Willa Fortuna" w Kołobrzegu</w:t>
            </w:r>
          </w:p>
        </w:tc>
      </w:tr>
      <w:tr w:rsidR="00252ACA" w:rsidRPr="00252ACA" w:rsidTr="00252ACA">
        <w:trPr>
          <w:trHeight w:val="255"/>
        </w:trPr>
        <w:tc>
          <w:tcPr>
            <w:tcW w:w="4180" w:type="dxa"/>
            <w:vMerge w:val="restart"/>
            <w:tcBorders>
              <w:top w:val="single" w:sz="8" w:space="0" w:color="auto"/>
              <w:left w:val="single" w:sz="8" w:space="0" w:color="auto"/>
              <w:bottom w:val="single" w:sz="4"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Wskaźniki</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BD4CEE">
              <w:rPr>
                <w:rFonts w:ascii="Garamond" w:eastAsia="Times New Roman" w:hAnsi="Garamond" w:cs="Arial"/>
                <w:b/>
                <w:bCs/>
                <w:sz w:val="18"/>
                <w:szCs w:val="18"/>
                <w:lang w:eastAsia="pl-PL"/>
              </w:rPr>
              <w:t>2</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BD4CEE">
              <w:rPr>
                <w:rFonts w:ascii="Garamond" w:eastAsia="Times New Roman" w:hAnsi="Garamond" w:cs="Arial"/>
                <w:b/>
                <w:bCs/>
                <w:sz w:val="18"/>
                <w:szCs w:val="18"/>
                <w:lang w:eastAsia="pl-PL"/>
              </w:rPr>
              <w:t>3</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BD4CEE">
              <w:rPr>
                <w:rFonts w:ascii="Garamond" w:eastAsia="Times New Roman" w:hAnsi="Garamond" w:cs="Arial"/>
                <w:b/>
                <w:bCs/>
                <w:sz w:val="18"/>
                <w:szCs w:val="18"/>
                <w:lang w:eastAsia="pl-PL"/>
              </w:rPr>
              <w:t>4</w:t>
            </w:r>
          </w:p>
        </w:tc>
        <w:tc>
          <w:tcPr>
            <w:tcW w:w="960" w:type="dxa"/>
            <w:vMerge w:val="restart"/>
            <w:tcBorders>
              <w:top w:val="single" w:sz="8" w:space="0" w:color="auto"/>
              <w:left w:val="single" w:sz="4" w:space="0" w:color="auto"/>
              <w:bottom w:val="single" w:sz="4"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sidR="00BD4CEE">
              <w:rPr>
                <w:rFonts w:ascii="Garamond" w:eastAsia="Times New Roman" w:hAnsi="Garamond" w:cs="Arial"/>
                <w:b/>
                <w:bCs/>
                <w:sz w:val="18"/>
                <w:szCs w:val="18"/>
                <w:lang w:eastAsia="pl-PL"/>
              </w:rPr>
              <w:t>5</w:t>
            </w:r>
          </w:p>
        </w:tc>
      </w:tr>
      <w:tr w:rsidR="00252ACA" w:rsidRPr="00252ACA" w:rsidTr="00252ACA">
        <w:trPr>
          <w:trHeight w:val="255"/>
        </w:trPr>
        <w:tc>
          <w:tcPr>
            <w:tcW w:w="4180" w:type="dxa"/>
            <w:vMerge/>
            <w:tcBorders>
              <w:top w:val="single" w:sz="8" w:space="0" w:color="auto"/>
              <w:left w:val="single" w:sz="8"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lang w:eastAsia="pl-PL"/>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rsidR="00252ACA" w:rsidRPr="00252ACA" w:rsidRDefault="00252ACA" w:rsidP="00252ACA">
            <w:pPr>
              <w:spacing w:after="0" w:line="240" w:lineRule="auto"/>
              <w:rPr>
                <w:rFonts w:ascii="Garamond" w:eastAsia="Times New Roman" w:hAnsi="Garamond" w:cs="Arial"/>
                <w:b/>
                <w:bCs/>
                <w:sz w:val="18"/>
                <w:szCs w:val="18"/>
                <w:lang w:eastAsia="pl-PL"/>
              </w:rPr>
            </w:pP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Zyskowności  netto                                                   </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36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Zyskowności działalności operacyjnej</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Zyskowność aktywów </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c>
          <w:tcPr>
            <w:tcW w:w="960" w:type="dxa"/>
            <w:tcBorders>
              <w:top w:val="nil"/>
              <w:left w:val="nil"/>
              <w:bottom w:val="single" w:sz="4" w:space="0" w:color="auto"/>
              <w:right w:val="single" w:sz="4" w:space="0" w:color="auto"/>
            </w:tcBorders>
            <w:shd w:val="clear" w:color="000000" w:fill="C2D69A"/>
            <w:noWrap/>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5</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Bieżącej płynności                                           </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Szybkiej płynności</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Rotacji należności  </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3</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 xml:space="preserve">Rotacji zobowiązań </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7</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Zadłużenia aktywów</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30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252ACA" w:rsidRPr="00252ACA" w:rsidRDefault="00252ACA" w:rsidP="00252ACA">
            <w:pPr>
              <w:spacing w:after="0" w:line="240" w:lineRule="auto"/>
              <w:rPr>
                <w:rFonts w:ascii="Garamond" w:eastAsia="Times New Roman" w:hAnsi="Garamond" w:cs="Arial"/>
                <w:lang w:eastAsia="pl-PL"/>
              </w:rPr>
            </w:pPr>
            <w:r w:rsidRPr="00252ACA">
              <w:rPr>
                <w:rFonts w:ascii="Garamond" w:eastAsia="Times New Roman" w:hAnsi="Garamond" w:cs="Arial"/>
                <w:lang w:eastAsia="pl-PL"/>
              </w:rPr>
              <w:t>Wypłacalności</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c>
          <w:tcPr>
            <w:tcW w:w="960" w:type="dxa"/>
            <w:tcBorders>
              <w:top w:val="nil"/>
              <w:left w:val="nil"/>
              <w:bottom w:val="single" w:sz="4"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10</w:t>
            </w:r>
          </w:p>
        </w:tc>
      </w:tr>
      <w:tr w:rsidR="00252ACA" w:rsidRPr="00252ACA" w:rsidTr="00252ACA">
        <w:trPr>
          <w:trHeight w:val="315"/>
        </w:trPr>
        <w:tc>
          <w:tcPr>
            <w:tcW w:w="4180" w:type="dxa"/>
            <w:tcBorders>
              <w:top w:val="nil"/>
              <w:left w:val="single" w:sz="8" w:space="0" w:color="auto"/>
              <w:bottom w:val="single" w:sz="8" w:space="0" w:color="auto"/>
              <w:right w:val="single" w:sz="4" w:space="0" w:color="auto"/>
            </w:tcBorders>
            <w:shd w:val="clear" w:color="000000" w:fill="FFCC00"/>
            <w:noWrap/>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RAZEM</w:t>
            </w:r>
          </w:p>
        </w:tc>
        <w:tc>
          <w:tcPr>
            <w:tcW w:w="960" w:type="dxa"/>
            <w:tcBorders>
              <w:top w:val="nil"/>
              <w:left w:val="nil"/>
              <w:bottom w:val="single" w:sz="8"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FFCC00"/>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r>
      <w:tr w:rsidR="00252ACA" w:rsidRPr="00252ACA" w:rsidTr="00252ACA">
        <w:trPr>
          <w:trHeight w:val="255"/>
        </w:trPr>
        <w:tc>
          <w:tcPr>
            <w:tcW w:w="4180" w:type="dxa"/>
            <w:tcBorders>
              <w:top w:val="nil"/>
              <w:left w:val="nil"/>
              <w:bottom w:val="nil"/>
              <w:right w:val="nil"/>
            </w:tcBorders>
            <w:shd w:val="clear" w:color="auto" w:fill="auto"/>
            <w:noWrap/>
            <w:vAlign w:val="bottom"/>
            <w:hideMark/>
          </w:tcPr>
          <w:p w:rsidR="00252ACA" w:rsidRPr="00252ACA" w:rsidRDefault="00252ACA" w:rsidP="00252ACA">
            <w:pPr>
              <w:spacing w:after="0" w:line="240" w:lineRule="auto"/>
              <w:rPr>
                <w:rFonts w:ascii="Arial" w:eastAsia="Times New Roman"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252ACA" w:rsidRPr="00252ACA" w:rsidRDefault="00252ACA" w:rsidP="00252ACA">
            <w:pPr>
              <w:spacing w:after="0" w:line="240" w:lineRule="auto"/>
              <w:rPr>
                <w:rFonts w:ascii="Arial" w:eastAsia="Times New Roman"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252ACA" w:rsidRPr="00252ACA" w:rsidRDefault="00252ACA" w:rsidP="00252ACA">
            <w:pPr>
              <w:spacing w:after="0" w:line="240" w:lineRule="auto"/>
              <w:rPr>
                <w:rFonts w:ascii="Arial" w:eastAsia="Times New Roman"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252ACA" w:rsidRPr="00252ACA" w:rsidRDefault="00252ACA" w:rsidP="00252ACA">
            <w:pPr>
              <w:spacing w:after="0" w:line="240" w:lineRule="auto"/>
              <w:rPr>
                <w:rFonts w:ascii="Arial" w:eastAsia="Times New Roman" w:hAnsi="Arial" w:cs="Arial"/>
                <w:sz w:val="20"/>
                <w:szCs w:val="20"/>
                <w:lang w:eastAsia="pl-PL"/>
              </w:rPr>
            </w:pPr>
          </w:p>
        </w:tc>
        <w:tc>
          <w:tcPr>
            <w:tcW w:w="960" w:type="dxa"/>
            <w:tcBorders>
              <w:top w:val="nil"/>
              <w:left w:val="nil"/>
              <w:bottom w:val="nil"/>
              <w:right w:val="nil"/>
            </w:tcBorders>
            <w:shd w:val="clear" w:color="auto" w:fill="auto"/>
            <w:noWrap/>
            <w:vAlign w:val="bottom"/>
            <w:hideMark/>
          </w:tcPr>
          <w:p w:rsidR="00252ACA" w:rsidRPr="00252ACA" w:rsidRDefault="00252ACA" w:rsidP="00252ACA">
            <w:pPr>
              <w:spacing w:after="0" w:line="240" w:lineRule="auto"/>
              <w:rPr>
                <w:rFonts w:ascii="Arial" w:eastAsia="Times New Roman" w:hAnsi="Arial" w:cs="Arial"/>
                <w:sz w:val="20"/>
                <w:szCs w:val="20"/>
                <w:lang w:eastAsia="pl-PL"/>
              </w:rPr>
            </w:pPr>
          </w:p>
        </w:tc>
      </w:tr>
      <w:tr w:rsidR="00BD4CEE" w:rsidRPr="00252ACA" w:rsidTr="00252ACA">
        <w:trPr>
          <w:trHeight w:val="375"/>
        </w:trPr>
        <w:tc>
          <w:tcPr>
            <w:tcW w:w="4180" w:type="dxa"/>
            <w:tcBorders>
              <w:top w:val="single" w:sz="8" w:space="0" w:color="auto"/>
              <w:left w:val="single" w:sz="8" w:space="0" w:color="auto"/>
              <w:bottom w:val="single" w:sz="4" w:space="0" w:color="auto"/>
              <w:right w:val="single" w:sz="4" w:space="0" w:color="auto"/>
            </w:tcBorders>
            <w:shd w:val="clear" w:color="000000" w:fill="FFCC00"/>
            <w:vAlign w:val="center"/>
            <w:hideMark/>
          </w:tcPr>
          <w:p w:rsidR="00BD4CEE" w:rsidRPr="00252ACA" w:rsidRDefault="00BD4CEE" w:rsidP="00252ACA">
            <w:pPr>
              <w:spacing w:after="0" w:line="240" w:lineRule="auto"/>
              <w:jc w:val="center"/>
              <w:rPr>
                <w:rFonts w:ascii="Garamond" w:eastAsia="Times New Roman" w:hAnsi="Garamond" w:cs="Arial"/>
                <w:lang w:eastAsia="pl-PL"/>
              </w:rPr>
            </w:pPr>
            <w:r w:rsidRPr="00252ACA">
              <w:rPr>
                <w:rFonts w:ascii="Garamond" w:eastAsia="Times New Roman" w:hAnsi="Garamond" w:cs="Arial"/>
                <w:lang w:eastAsia="pl-PL"/>
              </w:rPr>
              <w:t>Wskaźniki</w:t>
            </w:r>
          </w:p>
        </w:tc>
        <w:tc>
          <w:tcPr>
            <w:tcW w:w="960" w:type="dxa"/>
            <w:tcBorders>
              <w:top w:val="single" w:sz="8" w:space="0" w:color="auto"/>
              <w:left w:val="nil"/>
              <w:bottom w:val="single" w:sz="4" w:space="0" w:color="auto"/>
              <w:right w:val="single" w:sz="4" w:space="0" w:color="auto"/>
            </w:tcBorders>
            <w:shd w:val="clear" w:color="000000" w:fill="FFCC00"/>
            <w:vAlign w:val="center"/>
            <w:hideMark/>
          </w:tcPr>
          <w:p w:rsidR="00BD4CEE" w:rsidRPr="00252ACA" w:rsidRDefault="00BD4CEE" w:rsidP="002635BD">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Pr>
                <w:rFonts w:ascii="Garamond" w:eastAsia="Times New Roman" w:hAnsi="Garamond" w:cs="Arial"/>
                <w:b/>
                <w:bCs/>
                <w:sz w:val="18"/>
                <w:szCs w:val="18"/>
                <w:lang w:eastAsia="pl-PL"/>
              </w:rPr>
              <w:t>2</w:t>
            </w:r>
          </w:p>
        </w:tc>
        <w:tc>
          <w:tcPr>
            <w:tcW w:w="960" w:type="dxa"/>
            <w:tcBorders>
              <w:top w:val="single" w:sz="8" w:space="0" w:color="auto"/>
              <w:left w:val="nil"/>
              <w:bottom w:val="single" w:sz="4" w:space="0" w:color="auto"/>
              <w:right w:val="single" w:sz="4" w:space="0" w:color="auto"/>
            </w:tcBorders>
            <w:shd w:val="clear" w:color="000000" w:fill="FFCC00"/>
            <w:vAlign w:val="center"/>
            <w:hideMark/>
          </w:tcPr>
          <w:p w:rsidR="00BD4CEE" w:rsidRPr="00252ACA" w:rsidRDefault="00BD4CEE" w:rsidP="002635BD">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Pr>
                <w:rFonts w:ascii="Garamond" w:eastAsia="Times New Roman" w:hAnsi="Garamond" w:cs="Arial"/>
                <w:b/>
                <w:bCs/>
                <w:sz w:val="18"/>
                <w:szCs w:val="18"/>
                <w:lang w:eastAsia="pl-PL"/>
              </w:rPr>
              <w:t>3</w:t>
            </w:r>
          </w:p>
        </w:tc>
        <w:tc>
          <w:tcPr>
            <w:tcW w:w="960" w:type="dxa"/>
            <w:tcBorders>
              <w:top w:val="single" w:sz="8" w:space="0" w:color="auto"/>
              <w:left w:val="nil"/>
              <w:bottom w:val="single" w:sz="4" w:space="0" w:color="auto"/>
              <w:right w:val="single" w:sz="4" w:space="0" w:color="auto"/>
            </w:tcBorders>
            <w:shd w:val="clear" w:color="000000" w:fill="FFCC00"/>
            <w:vAlign w:val="center"/>
            <w:hideMark/>
          </w:tcPr>
          <w:p w:rsidR="00BD4CEE" w:rsidRPr="00252ACA" w:rsidRDefault="00BD4CEE" w:rsidP="002635BD">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Pr>
                <w:rFonts w:ascii="Garamond" w:eastAsia="Times New Roman" w:hAnsi="Garamond" w:cs="Arial"/>
                <w:b/>
                <w:bCs/>
                <w:sz w:val="18"/>
                <w:szCs w:val="18"/>
                <w:lang w:eastAsia="pl-PL"/>
              </w:rPr>
              <w:t>4</w:t>
            </w:r>
          </w:p>
        </w:tc>
        <w:tc>
          <w:tcPr>
            <w:tcW w:w="960" w:type="dxa"/>
            <w:tcBorders>
              <w:top w:val="single" w:sz="8" w:space="0" w:color="auto"/>
              <w:left w:val="nil"/>
              <w:bottom w:val="single" w:sz="4" w:space="0" w:color="auto"/>
              <w:right w:val="single" w:sz="4" w:space="0" w:color="auto"/>
            </w:tcBorders>
            <w:shd w:val="clear" w:color="000000" w:fill="FFCC00"/>
            <w:vAlign w:val="center"/>
            <w:hideMark/>
          </w:tcPr>
          <w:p w:rsidR="00BD4CEE" w:rsidRPr="00252ACA" w:rsidRDefault="00BD4CEE" w:rsidP="002635BD">
            <w:pPr>
              <w:spacing w:after="0" w:line="240" w:lineRule="auto"/>
              <w:jc w:val="center"/>
              <w:rPr>
                <w:rFonts w:ascii="Garamond" w:eastAsia="Times New Roman" w:hAnsi="Garamond" w:cs="Arial"/>
                <w:b/>
                <w:bCs/>
                <w:sz w:val="18"/>
                <w:szCs w:val="18"/>
                <w:lang w:eastAsia="pl-PL"/>
              </w:rPr>
            </w:pPr>
            <w:r w:rsidRPr="00252ACA">
              <w:rPr>
                <w:rFonts w:ascii="Garamond" w:eastAsia="Times New Roman" w:hAnsi="Garamond" w:cs="Arial"/>
                <w:b/>
                <w:bCs/>
                <w:sz w:val="18"/>
                <w:szCs w:val="18"/>
                <w:lang w:eastAsia="pl-PL"/>
              </w:rPr>
              <w:t>202</w:t>
            </w:r>
            <w:r>
              <w:rPr>
                <w:rFonts w:ascii="Garamond" w:eastAsia="Times New Roman" w:hAnsi="Garamond" w:cs="Arial"/>
                <w:b/>
                <w:bCs/>
                <w:sz w:val="18"/>
                <w:szCs w:val="18"/>
                <w:lang w:eastAsia="pl-PL"/>
              </w:rPr>
              <w:t>5</w:t>
            </w:r>
          </w:p>
        </w:tc>
      </w:tr>
      <w:tr w:rsidR="00252ACA" w:rsidRPr="00252ACA" w:rsidTr="00252ACA">
        <w:trPr>
          <w:trHeight w:val="315"/>
        </w:trPr>
        <w:tc>
          <w:tcPr>
            <w:tcW w:w="4180" w:type="dxa"/>
            <w:tcBorders>
              <w:top w:val="nil"/>
              <w:left w:val="single" w:sz="8" w:space="0" w:color="auto"/>
              <w:bottom w:val="single" w:sz="8" w:space="0" w:color="auto"/>
              <w:right w:val="single" w:sz="4" w:space="0" w:color="auto"/>
            </w:tcBorders>
            <w:shd w:val="clear" w:color="000000" w:fill="FFCC00"/>
            <w:noWrap/>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SUMA PUNKTÓW</w:t>
            </w:r>
          </w:p>
        </w:tc>
        <w:tc>
          <w:tcPr>
            <w:tcW w:w="960" w:type="dxa"/>
            <w:tcBorders>
              <w:top w:val="nil"/>
              <w:left w:val="nil"/>
              <w:bottom w:val="single" w:sz="8"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c>
          <w:tcPr>
            <w:tcW w:w="960" w:type="dxa"/>
            <w:tcBorders>
              <w:top w:val="nil"/>
              <w:left w:val="nil"/>
              <w:bottom w:val="single" w:sz="8" w:space="0" w:color="auto"/>
              <w:right w:val="single" w:sz="4" w:space="0" w:color="auto"/>
            </w:tcBorders>
            <w:shd w:val="clear" w:color="000000" w:fill="C2D69A"/>
            <w:vAlign w:val="center"/>
            <w:hideMark/>
          </w:tcPr>
          <w:p w:rsidR="00252ACA" w:rsidRPr="00252ACA" w:rsidRDefault="00252ACA" w:rsidP="00252ACA">
            <w:pPr>
              <w:spacing w:after="0" w:line="240" w:lineRule="auto"/>
              <w:jc w:val="center"/>
              <w:rPr>
                <w:rFonts w:ascii="Garamond" w:eastAsia="Times New Roman" w:hAnsi="Garamond" w:cs="Arial"/>
                <w:b/>
                <w:bCs/>
                <w:lang w:eastAsia="pl-PL"/>
              </w:rPr>
            </w:pPr>
            <w:r w:rsidRPr="00252ACA">
              <w:rPr>
                <w:rFonts w:ascii="Garamond" w:eastAsia="Times New Roman" w:hAnsi="Garamond" w:cs="Arial"/>
                <w:b/>
                <w:bCs/>
                <w:lang w:eastAsia="pl-PL"/>
              </w:rPr>
              <w:t>65</w:t>
            </w:r>
          </w:p>
        </w:tc>
      </w:tr>
    </w:tbl>
    <w:p w:rsidR="00252ACA" w:rsidRPr="00B25724" w:rsidRDefault="00252ACA" w:rsidP="0047283E">
      <w:pPr>
        <w:jc w:val="both"/>
        <w:rPr>
          <w:rFonts w:ascii="Times New Roman" w:hAnsi="Times New Roman" w:cs="Times New Roman"/>
          <w:sz w:val="24"/>
          <w:szCs w:val="24"/>
        </w:rPr>
        <w:sectPr w:rsidR="00252ACA" w:rsidRPr="00B25724" w:rsidSect="00E30F05">
          <w:type w:val="continuous"/>
          <w:pgSz w:w="11906" w:h="16838"/>
          <w:pgMar w:top="284" w:right="849" w:bottom="142" w:left="1418" w:header="708" w:footer="708" w:gutter="0"/>
          <w:cols w:space="708"/>
          <w:docGrid w:linePitch="360"/>
        </w:sectPr>
      </w:pPr>
    </w:p>
    <w:p w:rsidR="009463D3" w:rsidRDefault="009463D3" w:rsidP="008D0D89">
      <w:pPr>
        <w:spacing w:after="0" w:line="360" w:lineRule="auto"/>
        <w:rPr>
          <w:rFonts w:ascii="Times New Roman" w:hAnsi="Times New Roman" w:cs="Times New Roman"/>
          <w:b/>
          <w:sz w:val="24"/>
          <w:szCs w:val="24"/>
        </w:rPr>
      </w:pPr>
    </w:p>
    <w:p w:rsidR="009463D3" w:rsidRDefault="009463D3" w:rsidP="008D0D89">
      <w:pPr>
        <w:spacing w:after="0" w:line="360" w:lineRule="auto"/>
        <w:rPr>
          <w:rFonts w:ascii="Times New Roman" w:hAnsi="Times New Roman" w:cs="Times New Roman"/>
          <w:b/>
          <w:sz w:val="24"/>
          <w:szCs w:val="24"/>
        </w:rPr>
      </w:pPr>
      <w:r w:rsidRPr="009463D3">
        <w:rPr>
          <w:rFonts w:ascii="Times New Roman" w:hAnsi="Times New Roman" w:cs="Times New Roman"/>
          <w:b/>
          <w:noProof/>
          <w:sz w:val="24"/>
          <w:szCs w:val="24"/>
          <w:lang w:eastAsia="pl-PL"/>
        </w:rPr>
        <w:lastRenderedPageBreak/>
        <w:drawing>
          <wp:inline distT="0" distB="0" distL="0" distR="0">
            <wp:extent cx="4572000" cy="340995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63D3" w:rsidRDefault="009463D3" w:rsidP="008D0D89">
      <w:pPr>
        <w:spacing w:after="0" w:line="360" w:lineRule="auto"/>
        <w:rPr>
          <w:rFonts w:ascii="Times New Roman" w:hAnsi="Times New Roman" w:cs="Times New Roman"/>
          <w:b/>
          <w:sz w:val="24"/>
          <w:szCs w:val="24"/>
        </w:rPr>
      </w:pPr>
    </w:p>
    <w:p w:rsidR="008D0D89" w:rsidRPr="002A1B53" w:rsidRDefault="008D0D89" w:rsidP="008D0D89">
      <w:pPr>
        <w:spacing w:after="0" w:line="360" w:lineRule="auto"/>
        <w:rPr>
          <w:rFonts w:ascii="Times New Roman" w:hAnsi="Times New Roman" w:cs="Times New Roman"/>
          <w:b/>
          <w:sz w:val="24"/>
          <w:szCs w:val="24"/>
        </w:rPr>
      </w:pPr>
      <w:r w:rsidRPr="002A1B53">
        <w:rPr>
          <w:rFonts w:ascii="Times New Roman" w:hAnsi="Times New Roman" w:cs="Times New Roman"/>
          <w:b/>
          <w:sz w:val="24"/>
          <w:szCs w:val="24"/>
        </w:rPr>
        <w:t>Sytuacja ekonomiczno-finansowa</w:t>
      </w:r>
    </w:p>
    <w:p w:rsidR="008D0D89" w:rsidRPr="002A1B53" w:rsidRDefault="008D0D89" w:rsidP="008D0D89">
      <w:pPr>
        <w:spacing w:after="0" w:line="360" w:lineRule="auto"/>
        <w:ind w:left="284" w:hanging="284"/>
        <w:jc w:val="both"/>
        <w:rPr>
          <w:rFonts w:ascii="Times New Roman" w:hAnsi="Times New Roman" w:cs="Times New Roman"/>
          <w:sz w:val="24"/>
          <w:szCs w:val="24"/>
        </w:rPr>
      </w:pPr>
      <w:r w:rsidRPr="002A1B53">
        <w:rPr>
          <w:rFonts w:ascii="Times New Roman" w:hAnsi="Times New Roman" w:cs="Times New Roman"/>
          <w:sz w:val="24"/>
          <w:szCs w:val="24"/>
        </w:rPr>
        <w:t xml:space="preserve">1. Wielkość funduszy własnych samodzielnego publicznego zakładu opieki zdrowotnej na koniec poprzedniego roku obrotowego:   </w:t>
      </w:r>
    </w:p>
    <w:p w:rsidR="008D0D89" w:rsidRPr="002A1B53" w:rsidRDefault="008D0D89" w:rsidP="008D0D89">
      <w:pPr>
        <w:spacing w:after="0" w:line="360" w:lineRule="auto"/>
        <w:ind w:left="284" w:hanging="284"/>
        <w:jc w:val="both"/>
        <w:rPr>
          <w:rFonts w:ascii="Times New Roman" w:hAnsi="Times New Roman" w:cs="Times New Roman"/>
          <w:sz w:val="24"/>
          <w:szCs w:val="24"/>
        </w:rPr>
      </w:pPr>
      <w:r w:rsidRPr="002A1B53">
        <w:rPr>
          <w:rFonts w:ascii="Times New Roman" w:hAnsi="Times New Roman" w:cs="Times New Roman"/>
          <w:sz w:val="24"/>
          <w:szCs w:val="24"/>
        </w:rPr>
        <w:t xml:space="preserve">  a) fundusz założycielski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A1B53">
        <w:rPr>
          <w:rFonts w:ascii="Times New Roman" w:hAnsi="Times New Roman" w:cs="Times New Roman"/>
          <w:b/>
          <w:sz w:val="24"/>
          <w:szCs w:val="24"/>
        </w:rPr>
        <w:t>942 548,28</w:t>
      </w:r>
      <w:r w:rsidR="006D78E3">
        <w:rPr>
          <w:rFonts w:ascii="Times New Roman" w:hAnsi="Times New Roman" w:cs="Times New Roman"/>
          <w:b/>
          <w:sz w:val="24"/>
          <w:szCs w:val="24"/>
        </w:rPr>
        <w:t xml:space="preserve"> </w:t>
      </w:r>
      <w:r w:rsidRPr="002A1B53">
        <w:rPr>
          <w:rFonts w:ascii="Times New Roman" w:hAnsi="Times New Roman" w:cs="Times New Roman"/>
          <w:b/>
          <w:sz w:val="24"/>
          <w:szCs w:val="24"/>
        </w:rPr>
        <w:t>zł</w:t>
      </w:r>
      <w:r>
        <w:rPr>
          <w:rFonts w:ascii="Times New Roman" w:hAnsi="Times New Roman" w:cs="Times New Roman"/>
          <w:b/>
          <w:sz w:val="24"/>
          <w:szCs w:val="24"/>
        </w:rPr>
        <w:t>.</w:t>
      </w:r>
    </w:p>
    <w:p w:rsidR="008D0D89" w:rsidRPr="002A1B53" w:rsidRDefault="008D0D89" w:rsidP="008D0D89">
      <w:pPr>
        <w:spacing w:after="0" w:line="360" w:lineRule="auto"/>
        <w:ind w:left="284" w:hanging="142"/>
        <w:jc w:val="both"/>
        <w:rPr>
          <w:rFonts w:ascii="Times New Roman" w:hAnsi="Times New Roman" w:cs="Times New Roman"/>
          <w:b/>
          <w:sz w:val="24"/>
          <w:szCs w:val="24"/>
        </w:rPr>
      </w:pPr>
      <w:r w:rsidRPr="002A1B53">
        <w:rPr>
          <w:rFonts w:ascii="Times New Roman" w:hAnsi="Times New Roman" w:cs="Times New Roman"/>
          <w:sz w:val="24"/>
          <w:szCs w:val="24"/>
        </w:rPr>
        <w:t>b) fundusz zakładu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7049">
        <w:rPr>
          <w:rFonts w:ascii="Times New Roman" w:hAnsi="Times New Roman" w:cs="Times New Roman"/>
          <w:b/>
          <w:sz w:val="24"/>
          <w:szCs w:val="24"/>
        </w:rPr>
        <w:t>3 608 264,55</w:t>
      </w:r>
      <w:r w:rsidRPr="002A1B53">
        <w:rPr>
          <w:rFonts w:ascii="Times New Roman" w:hAnsi="Times New Roman" w:cs="Times New Roman"/>
          <w:b/>
          <w:sz w:val="24"/>
          <w:szCs w:val="24"/>
        </w:rPr>
        <w:t xml:space="preserve"> zł</w:t>
      </w:r>
      <w:r>
        <w:rPr>
          <w:rFonts w:ascii="Times New Roman" w:hAnsi="Times New Roman" w:cs="Times New Roman"/>
          <w:b/>
          <w:sz w:val="24"/>
          <w:szCs w:val="24"/>
        </w:rPr>
        <w:t>.</w:t>
      </w:r>
    </w:p>
    <w:p w:rsidR="008D0D89" w:rsidRDefault="008D0D89" w:rsidP="008D0D89">
      <w:pPr>
        <w:spacing w:after="0" w:line="360" w:lineRule="auto"/>
        <w:ind w:left="284" w:hanging="142"/>
        <w:jc w:val="both"/>
        <w:rPr>
          <w:rFonts w:ascii="Times New Roman" w:hAnsi="Times New Roman" w:cs="Times New Roman"/>
          <w:b/>
          <w:sz w:val="24"/>
          <w:szCs w:val="24"/>
        </w:rPr>
      </w:pPr>
      <w:r>
        <w:rPr>
          <w:rFonts w:ascii="Times New Roman" w:hAnsi="Times New Roman" w:cs="Times New Roman"/>
          <w:sz w:val="24"/>
          <w:szCs w:val="24"/>
        </w:rPr>
        <w:t>c</w:t>
      </w:r>
      <w:r w:rsidRPr="002A1B53">
        <w:rPr>
          <w:rFonts w:ascii="Times New Roman" w:hAnsi="Times New Roman" w:cs="Times New Roman"/>
          <w:sz w:val="24"/>
          <w:szCs w:val="24"/>
        </w:rPr>
        <w:t>) wynik finansowy (zysk)</w:t>
      </w:r>
      <w:r>
        <w:rPr>
          <w:rFonts w:ascii="Times New Roman" w:hAnsi="Times New Roman" w:cs="Times New Roman"/>
          <w:sz w:val="24"/>
          <w:szCs w:val="24"/>
        </w:rPr>
        <w:t xml:space="preserve">                      </w:t>
      </w:r>
      <w:r w:rsidR="00FB5475">
        <w:rPr>
          <w:rFonts w:ascii="Times New Roman" w:hAnsi="Times New Roman" w:cs="Times New Roman"/>
          <w:b/>
          <w:sz w:val="24"/>
          <w:szCs w:val="24"/>
        </w:rPr>
        <w:t xml:space="preserve">                                      </w:t>
      </w:r>
      <w:r w:rsidR="00847049">
        <w:rPr>
          <w:rFonts w:ascii="Times New Roman" w:hAnsi="Times New Roman" w:cs="Times New Roman"/>
          <w:b/>
          <w:sz w:val="24"/>
          <w:szCs w:val="24"/>
        </w:rPr>
        <w:t xml:space="preserve">                       538 417,18</w:t>
      </w:r>
      <w:r w:rsidRPr="006D78E3">
        <w:rPr>
          <w:rFonts w:ascii="Times New Roman" w:hAnsi="Times New Roman" w:cs="Times New Roman"/>
          <w:b/>
          <w:sz w:val="24"/>
          <w:szCs w:val="24"/>
        </w:rPr>
        <w:t xml:space="preserve"> </w:t>
      </w:r>
      <w:r w:rsidRPr="002A1B53">
        <w:rPr>
          <w:rFonts w:ascii="Times New Roman" w:hAnsi="Times New Roman" w:cs="Times New Roman"/>
          <w:b/>
          <w:sz w:val="24"/>
          <w:szCs w:val="24"/>
        </w:rPr>
        <w:t>zł</w:t>
      </w:r>
      <w:r>
        <w:rPr>
          <w:rFonts w:ascii="Times New Roman" w:hAnsi="Times New Roman" w:cs="Times New Roman"/>
          <w:b/>
          <w:sz w:val="24"/>
          <w:szCs w:val="24"/>
        </w:rPr>
        <w:t>.</w:t>
      </w:r>
    </w:p>
    <w:p w:rsidR="008D0D89" w:rsidRPr="002A1B53" w:rsidRDefault="008D0D89" w:rsidP="008D0D89">
      <w:pPr>
        <w:spacing w:after="0" w:line="360" w:lineRule="auto"/>
        <w:ind w:left="284" w:hanging="142"/>
        <w:jc w:val="both"/>
        <w:rPr>
          <w:rFonts w:ascii="Times New Roman" w:hAnsi="Times New Roman" w:cs="Times New Roman"/>
          <w:b/>
          <w:sz w:val="24"/>
          <w:szCs w:val="24"/>
        </w:rPr>
      </w:pPr>
    </w:p>
    <w:p w:rsidR="003E2694" w:rsidRPr="008D0D89" w:rsidRDefault="008D0D89" w:rsidP="008D0D89">
      <w:pPr>
        <w:spacing w:after="0" w:line="360" w:lineRule="auto"/>
        <w:ind w:left="3824" w:firstLine="424"/>
        <w:jc w:val="both"/>
        <w:rPr>
          <w:rFonts w:ascii="Times New Roman" w:hAnsi="Times New Roman" w:cs="Times New Roman"/>
          <w:sz w:val="28"/>
          <w:szCs w:val="24"/>
        </w:rPr>
        <w:sectPr w:rsidR="003E2694" w:rsidRPr="008D0D89" w:rsidSect="008D0D89">
          <w:type w:val="continuous"/>
          <w:pgSz w:w="11906" w:h="16838"/>
          <w:pgMar w:top="284" w:right="1418" w:bottom="244" w:left="1418" w:header="709" w:footer="709" w:gutter="0"/>
          <w:cols w:space="708"/>
          <w:docGrid w:linePitch="360"/>
        </w:sectPr>
      </w:pPr>
      <w:r w:rsidRPr="002A1B53">
        <w:rPr>
          <w:rFonts w:ascii="Times New Roman" w:hAnsi="Times New Roman" w:cs="Times New Roman"/>
          <w:b/>
          <w:sz w:val="28"/>
          <w:szCs w:val="24"/>
        </w:rPr>
        <w:t xml:space="preserve">                   RAZEM</w:t>
      </w:r>
      <w:r w:rsidRPr="002A1B53">
        <w:rPr>
          <w:rFonts w:ascii="Times New Roman" w:hAnsi="Times New Roman" w:cs="Times New Roman"/>
          <w:sz w:val="28"/>
          <w:szCs w:val="24"/>
        </w:rPr>
        <w:t xml:space="preserve"> </w:t>
      </w:r>
      <w:r>
        <w:rPr>
          <w:rFonts w:ascii="Times New Roman" w:hAnsi="Times New Roman" w:cs="Times New Roman"/>
          <w:sz w:val="28"/>
          <w:szCs w:val="24"/>
        </w:rPr>
        <w:t xml:space="preserve">      </w:t>
      </w:r>
      <w:r w:rsidRPr="002A1B53">
        <w:rPr>
          <w:rFonts w:ascii="Times New Roman" w:hAnsi="Times New Roman" w:cs="Times New Roman"/>
          <w:sz w:val="28"/>
          <w:szCs w:val="24"/>
        </w:rPr>
        <w:t xml:space="preserve">  </w:t>
      </w:r>
      <w:r w:rsidR="00847049">
        <w:rPr>
          <w:rFonts w:ascii="Times New Roman" w:hAnsi="Times New Roman" w:cs="Times New Roman"/>
          <w:b/>
          <w:sz w:val="28"/>
          <w:szCs w:val="24"/>
        </w:rPr>
        <w:t>5 089 230,01</w:t>
      </w:r>
      <w:r w:rsidRPr="002A1B53">
        <w:rPr>
          <w:rFonts w:ascii="Times New Roman" w:hAnsi="Times New Roman" w:cs="Times New Roman"/>
          <w:b/>
          <w:sz w:val="28"/>
          <w:szCs w:val="24"/>
        </w:rPr>
        <w:t xml:space="preserve"> zł</w:t>
      </w:r>
      <w:r w:rsidR="00AB2152">
        <w:rPr>
          <w:rFonts w:ascii="Times New Roman" w:hAnsi="Times New Roman" w:cs="Times New Roman"/>
          <w:b/>
          <w:sz w:val="28"/>
          <w:szCs w:val="24"/>
        </w:rPr>
        <w:t>.</w:t>
      </w:r>
    </w:p>
    <w:p w:rsidR="001254D9" w:rsidRPr="002A1B53" w:rsidRDefault="001254D9" w:rsidP="00EE1C9B">
      <w:pPr>
        <w:jc w:val="both"/>
        <w:rPr>
          <w:rFonts w:ascii="Times New Roman" w:hAnsi="Times New Roman" w:cs="Times New Roman"/>
        </w:rPr>
      </w:pPr>
    </w:p>
    <w:sectPr w:rsidR="001254D9" w:rsidRPr="002A1B53" w:rsidSect="003E2694">
      <w:pgSz w:w="11906" w:h="16838"/>
      <w:pgMar w:top="142" w:right="1417"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88" w:rsidRDefault="00321B88" w:rsidP="00795784">
      <w:pPr>
        <w:spacing w:after="0" w:line="240" w:lineRule="auto"/>
      </w:pPr>
      <w:r>
        <w:separator/>
      </w:r>
    </w:p>
  </w:endnote>
  <w:endnote w:type="continuationSeparator" w:id="0">
    <w:p w:rsidR="00321B88" w:rsidRDefault="00321B88" w:rsidP="00795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D" w:rsidRDefault="002635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2508"/>
      <w:docPartObj>
        <w:docPartGallery w:val="Page Numbers (Bottom of Page)"/>
        <w:docPartUnique/>
      </w:docPartObj>
    </w:sdtPr>
    <w:sdtContent>
      <w:p w:rsidR="002635BD" w:rsidRDefault="00D030E2">
        <w:pPr>
          <w:pStyle w:val="Stopka"/>
          <w:jc w:val="right"/>
        </w:pPr>
        <w:fldSimple w:instr=" PAGE   \* MERGEFORMAT ">
          <w:r w:rsidR="00E30F05">
            <w:rPr>
              <w:noProof/>
            </w:rPr>
            <w:t>9</w:t>
          </w:r>
        </w:fldSimple>
      </w:p>
    </w:sdtContent>
  </w:sdt>
  <w:p w:rsidR="002635BD" w:rsidRDefault="002635B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D" w:rsidRDefault="002635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88" w:rsidRDefault="00321B88" w:rsidP="00795784">
      <w:pPr>
        <w:spacing w:after="0" w:line="240" w:lineRule="auto"/>
      </w:pPr>
      <w:r>
        <w:separator/>
      </w:r>
    </w:p>
  </w:footnote>
  <w:footnote w:type="continuationSeparator" w:id="0">
    <w:p w:rsidR="00321B88" w:rsidRDefault="00321B88" w:rsidP="00795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D" w:rsidRDefault="002635B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D" w:rsidRDefault="002635B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BD" w:rsidRDefault="002635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0D2"/>
    <w:multiLevelType w:val="hybridMultilevel"/>
    <w:tmpl w:val="467EA06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
    <w:nsid w:val="01BD6CD0"/>
    <w:multiLevelType w:val="hybridMultilevel"/>
    <w:tmpl w:val="8342215C"/>
    <w:lvl w:ilvl="0" w:tplc="099AA720">
      <w:start w:val="1"/>
      <w:numFmt w:val="bullet"/>
      <w:lvlText w:val="•"/>
      <w:lvlJc w:val="left"/>
      <w:pPr>
        <w:tabs>
          <w:tab w:val="num" w:pos="720"/>
        </w:tabs>
        <w:ind w:left="720" w:hanging="360"/>
      </w:pPr>
      <w:rPr>
        <w:rFonts w:ascii="Arial" w:hAnsi="Arial" w:hint="default"/>
      </w:rPr>
    </w:lvl>
    <w:lvl w:ilvl="1" w:tplc="16981EE6" w:tentative="1">
      <w:start w:val="1"/>
      <w:numFmt w:val="bullet"/>
      <w:lvlText w:val="•"/>
      <w:lvlJc w:val="left"/>
      <w:pPr>
        <w:tabs>
          <w:tab w:val="num" w:pos="1440"/>
        </w:tabs>
        <w:ind w:left="1440" w:hanging="360"/>
      </w:pPr>
      <w:rPr>
        <w:rFonts w:ascii="Arial" w:hAnsi="Arial" w:hint="default"/>
      </w:rPr>
    </w:lvl>
    <w:lvl w:ilvl="2" w:tplc="A4E804B0" w:tentative="1">
      <w:start w:val="1"/>
      <w:numFmt w:val="bullet"/>
      <w:lvlText w:val="•"/>
      <w:lvlJc w:val="left"/>
      <w:pPr>
        <w:tabs>
          <w:tab w:val="num" w:pos="2160"/>
        </w:tabs>
        <w:ind w:left="2160" w:hanging="360"/>
      </w:pPr>
      <w:rPr>
        <w:rFonts w:ascii="Arial" w:hAnsi="Arial" w:hint="default"/>
      </w:rPr>
    </w:lvl>
    <w:lvl w:ilvl="3" w:tplc="10169D40" w:tentative="1">
      <w:start w:val="1"/>
      <w:numFmt w:val="bullet"/>
      <w:lvlText w:val="•"/>
      <w:lvlJc w:val="left"/>
      <w:pPr>
        <w:tabs>
          <w:tab w:val="num" w:pos="2880"/>
        </w:tabs>
        <w:ind w:left="2880" w:hanging="360"/>
      </w:pPr>
      <w:rPr>
        <w:rFonts w:ascii="Arial" w:hAnsi="Arial" w:hint="default"/>
      </w:rPr>
    </w:lvl>
    <w:lvl w:ilvl="4" w:tplc="199E014A" w:tentative="1">
      <w:start w:val="1"/>
      <w:numFmt w:val="bullet"/>
      <w:lvlText w:val="•"/>
      <w:lvlJc w:val="left"/>
      <w:pPr>
        <w:tabs>
          <w:tab w:val="num" w:pos="3600"/>
        </w:tabs>
        <w:ind w:left="3600" w:hanging="360"/>
      </w:pPr>
      <w:rPr>
        <w:rFonts w:ascii="Arial" w:hAnsi="Arial" w:hint="default"/>
      </w:rPr>
    </w:lvl>
    <w:lvl w:ilvl="5" w:tplc="CF42B8D4" w:tentative="1">
      <w:start w:val="1"/>
      <w:numFmt w:val="bullet"/>
      <w:lvlText w:val="•"/>
      <w:lvlJc w:val="left"/>
      <w:pPr>
        <w:tabs>
          <w:tab w:val="num" w:pos="4320"/>
        </w:tabs>
        <w:ind w:left="4320" w:hanging="360"/>
      </w:pPr>
      <w:rPr>
        <w:rFonts w:ascii="Arial" w:hAnsi="Arial" w:hint="default"/>
      </w:rPr>
    </w:lvl>
    <w:lvl w:ilvl="6" w:tplc="1D2C659C" w:tentative="1">
      <w:start w:val="1"/>
      <w:numFmt w:val="bullet"/>
      <w:lvlText w:val="•"/>
      <w:lvlJc w:val="left"/>
      <w:pPr>
        <w:tabs>
          <w:tab w:val="num" w:pos="5040"/>
        </w:tabs>
        <w:ind w:left="5040" w:hanging="360"/>
      </w:pPr>
      <w:rPr>
        <w:rFonts w:ascii="Arial" w:hAnsi="Arial" w:hint="default"/>
      </w:rPr>
    </w:lvl>
    <w:lvl w:ilvl="7" w:tplc="7D966860" w:tentative="1">
      <w:start w:val="1"/>
      <w:numFmt w:val="bullet"/>
      <w:lvlText w:val="•"/>
      <w:lvlJc w:val="left"/>
      <w:pPr>
        <w:tabs>
          <w:tab w:val="num" w:pos="5760"/>
        </w:tabs>
        <w:ind w:left="5760" w:hanging="360"/>
      </w:pPr>
      <w:rPr>
        <w:rFonts w:ascii="Arial" w:hAnsi="Arial" w:hint="default"/>
      </w:rPr>
    </w:lvl>
    <w:lvl w:ilvl="8" w:tplc="B248EB3C" w:tentative="1">
      <w:start w:val="1"/>
      <w:numFmt w:val="bullet"/>
      <w:lvlText w:val="•"/>
      <w:lvlJc w:val="left"/>
      <w:pPr>
        <w:tabs>
          <w:tab w:val="num" w:pos="6480"/>
        </w:tabs>
        <w:ind w:left="6480" w:hanging="360"/>
      </w:pPr>
      <w:rPr>
        <w:rFonts w:ascii="Arial" w:hAnsi="Arial" w:hint="default"/>
      </w:rPr>
    </w:lvl>
  </w:abstractNum>
  <w:abstractNum w:abstractNumId="2">
    <w:nsid w:val="0CDD2111"/>
    <w:multiLevelType w:val="hybridMultilevel"/>
    <w:tmpl w:val="854C50C0"/>
    <w:lvl w:ilvl="0" w:tplc="6360B020">
      <w:start w:val="1"/>
      <w:numFmt w:val="bullet"/>
      <w:lvlText w:val="•"/>
      <w:lvlJc w:val="left"/>
      <w:pPr>
        <w:tabs>
          <w:tab w:val="num" w:pos="720"/>
        </w:tabs>
        <w:ind w:left="720" w:hanging="360"/>
      </w:pPr>
      <w:rPr>
        <w:rFonts w:ascii="Arial" w:hAnsi="Arial" w:hint="default"/>
      </w:rPr>
    </w:lvl>
    <w:lvl w:ilvl="1" w:tplc="4CF25676" w:tentative="1">
      <w:start w:val="1"/>
      <w:numFmt w:val="bullet"/>
      <w:lvlText w:val="•"/>
      <w:lvlJc w:val="left"/>
      <w:pPr>
        <w:tabs>
          <w:tab w:val="num" w:pos="1440"/>
        </w:tabs>
        <w:ind w:left="1440" w:hanging="360"/>
      </w:pPr>
      <w:rPr>
        <w:rFonts w:ascii="Arial" w:hAnsi="Arial" w:hint="default"/>
      </w:rPr>
    </w:lvl>
    <w:lvl w:ilvl="2" w:tplc="61A0B77A" w:tentative="1">
      <w:start w:val="1"/>
      <w:numFmt w:val="bullet"/>
      <w:lvlText w:val="•"/>
      <w:lvlJc w:val="left"/>
      <w:pPr>
        <w:tabs>
          <w:tab w:val="num" w:pos="2160"/>
        </w:tabs>
        <w:ind w:left="2160" w:hanging="360"/>
      </w:pPr>
      <w:rPr>
        <w:rFonts w:ascii="Arial" w:hAnsi="Arial" w:hint="default"/>
      </w:rPr>
    </w:lvl>
    <w:lvl w:ilvl="3" w:tplc="7304F7D2" w:tentative="1">
      <w:start w:val="1"/>
      <w:numFmt w:val="bullet"/>
      <w:lvlText w:val="•"/>
      <w:lvlJc w:val="left"/>
      <w:pPr>
        <w:tabs>
          <w:tab w:val="num" w:pos="2880"/>
        </w:tabs>
        <w:ind w:left="2880" w:hanging="360"/>
      </w:pPr>
      <w:rPr>
        <w:rFonts w:ascii="Arial" w:hAnsi="Arial" w:hint="default"/>
      </w:rPr>
    </w:lvl>
    <w:lvl w:ilvl="4" w:tplc="FBCEC49E" w:tentative="1">
      <w:start w:val="1"/>
      <w:numFmt w:val="bullet"/>
      <w:lvlText w:val="•"/>
      <w:lvlJc w:val="left"/>
      <w:pPr>
        <w:tabs>
          <w:tab w:val="num" w:pos="3600"/>
        </w:tabs>
        <w:ind w:left="3600" w:hanging="360"/>
      </w:pPr>
      <w:rPr>
        <w:rFonts w:ascii="Arial" w:hAnsi="Arial" w:hint="default"/>
      </w:rPr>
    </w:lvl>
    <w:lvl w:ilvl="5" w:tplc="87ECD5B4" w:tentative="1">
      <w:start w:val="1"/>
      <w:numFmt w:val="bullet"/>
      <w:lvlText w:val="•"/>
      <w:lvlJc w:val="left"/>
      <w:pPr>
        <w:tabs>
          <w:tab w:val="num" w:pos="4320"/>
        </w:tabs>
        <w:ind w:left="4320" w:hanging="360"/>
      </w:pPr>
      <w:rPr>
        <w:rFonts w:ascii="Arial" w:hAnsi="Arial" w:hint="default"/>
      </w:rPr>
    </w:lvl>
    <w:lvl w:ilvl="6" w:tplc="F4AC05C8" w:tentative="1">
      <w:start w:val="1"/>
      <w:numFmt w:val="bullet"/>
      <w:lvlText w:val="•"/>
      <w:lvlJc w:val="left"/>
      <w:pPr>
        <w:tabs>
          <w:tab w:val="num" w:pos="5040"/>
        </w:tabs>
        <w:ind w:left="5040" w:hanging="360"/>
      </w:pPr>
      <w:rPr>
        <w:rFonts w:ascii="Arial" w:hAnsi="Arial" w:hint="default"/>
      </w:rPr>
    </w:lvl>
    <w:lvl w:ilvl="7" w:tplc="31865ED6" w:tentative="1">
      <w:start w:val="1"/>
      <w:numFmt w:val="bullet"/>
      <w:lvlText w:val="•"/>
      <w:lvlJc w:val="left"/>
      <w:pPr>
        <w:tabs>
          <w:tab w:val="num" w:pos="5760"/>
        </w:tabs>
        <w:ind w:left="5760" w:hanging="360"/>
      </w:pPr>
      <w:rPr>
        <w:rFonts w:ascii="Arial" w:hAnsi="Arial" w:hint="default"/>
      </w:rPr>
    </w:lvl>
    <w:lvl w:ilvl="8" w:tplc="C7EC350E" w:tentative="1">
      <w:start w:val="1"/>
      <w:numFmt w:val="bullet"/>
      <w:lvlText w:val="•"/>
      <w:lvlJc w:val="left"/>
      <w:pPr>
        <w:tabs>
          <w:tab w:val="num" w:pos="6480"/>
        </w:tabs>
        <w:ind w:left="6480" w:hanging="360"/>
      </w:pPr>
      <w:rPr>
        <w:rFonts w:ascii="Arial" w:hAnsi="Arial" w:hint="default"/>
      </w:rPr>
    </w:lvl>
  </w:abstractNum>
  <w:abstractNum w:abstractNumId="3">
    <w:nsid w:val="0E576316"/>
    <w:multiLevelType w:val="hybridMultilevel"/>
    <w:tmpl w:val="8BD25926"/>
    <w:lvl w:ilvl="0" w:tplc="ABF423F4">
      <w:start w:val="3"/>
      <w:numFmt w:val="upperRoman"/>
      <w:lvlText w:val="%1."/>
      <w:lvlJc w:val="left"/>
      <w:pPr>
        <w:ind w:left="1080" w:hanging="1080"/>
      </w:pPr>
      <w:rPr>
        <w:rFonts w:eastAsiaTheme="minorEastAsia" w:hAnsi="Calibr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FD0F57"/>
    <w:multiLevelType w:val="multilevel"/>
    <w:tmpl w:val="488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9E7D12"/>
    <w:multiLevelType w:val="hybridMultilevel"/>
    <w:tmpl w:val="D56620E6"/>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6">
    <w:nsid w:val="18D25C83"/>
    <w:multiLevelType w:val="hybridMultilevel"/>
    <w:tmpl w:val="D286F324"/>
    <w:lvl w:ilvl="0" w:tplc="2CF2CB20">
      <w:start w:val="1"/>
      <w:numFmt w:val="bullet"/>
      <w:lvlText w:val="•"/>
      <w:lvlJc w:val="left"/>
      <w:pPr>
        <w:tabs>
          <w:tab w:val="num" w:pos="720"/>
        </w:tabs>
        <w:ind w:left="720" w:hanging="360"/>
      </w:pPr>
      <w:rPr>
        <w:rFonts w:ascii="Arial" w:hAnsi="Arial" w:hint="default"/>
      </w:rPr>
    </w:lvl>
    <w:lvl w:ilvl="1" w:tplc="244E3DEE" w:tentative="1">
      <w:start w:val="1"/>
      <w:numFmt w:val="bullet"/>
      <w:lvlText w:val="•"/>
      <w:lvlJc w:val="left"/>
      <w:pPr>
        <w:tabs>
          <w:tab w:val="num" w:pos="1440"/>
        </w:tabs>
        <w:ind w:left="1440" w:hanging="360"/>
      </w:pPr>
      <w:rPr>
        <w:rFonts w:ascii="Arial" w:hAnsi="Arial" w:hint="default"/>
      </w:rPr>
    </w:lvl>
    <w:lvl w:ilvl="2" w:tplc="3DFA1414" w:tentative="1">
      <w:start w:val="1"/>
      <w:numFmt w:val="bullet"/>
      <w:lvlText w:val="•"/>
      <w:lvlJc w:val="left"/>
      <w:pPr>
        <w:tabs>
          <w:tab w:val="num" w:pos="2160"/>
        </w:tabs>
        <w:ind w:left="2160" w:hanging="360"/>
      </w:pPr>
      <w:rPr>
        <w:rFonts w:ascii="Arial" w:hAnsi="Arial" w:hint="default"/>
      </w:rPr>
    </w:lvl>
    <w:lvl w:ilvl="3" w:tplc="970E713E" w:tentative="1">
      <w:start w:val="1"/>
      <w:numFmt w:val="bullet"/>
      <w:lvlText w:val="•"/>
      <w:lvlJc w:val="left"/>
      <w:pPr>
        <w:tabs>
          <w:tab w:val="num" w:pos="2880"/>
        </w:tabs>
        <w:ind w:left="2880" w:hanging="360"/>
      </w:pPr>
      <w:rPr>
        <w:rFonts w:ascii="Arial" w:hAnsi="Arial" w:hint="default"/>
      </w:rPr>
    </w:lvl>
    <w:lvl w:ilvl="4" w:tplc="CF62620E" w:tentative="1">
      <w:start w:val="1"/>
      <w:numFmt w:val="bullet"/>
      <w:lvlText w:val="•"/>
      <w:lvlJc w:val="left"/>
      <w:pPr>
        <w:tabs>
          <w:tab w:val="num" w:pos="3600"/>
        </w:tabs>
        <w:ind w:left="3600" w:hanging="360"/>
      </w:pPr>
      <w:rPr>
        <w:rFonts w:ascii="Arial" w:hAnsi="Arial" w:hint="default"/>
      </w:rPr>
    </w:lvl>
    <w:lvl w:ilvl="5" w:tplc="19EA8DB8" w:tentative="1">
      <w:start w:val="1"/>
      <w:numFmt w:val="bullet"/>
      <w:lvlText w:val="•"/>
      <w:lvlJc w:val="left"/>
      <w:pPr>
        <w:tabs>
          <w:tab w:val="num" w:pos="4320"/>
        </w:tabs>
        <w:ind w:left="4320" w:hanging="360"/>
      </w:pPr>
      <w:rPr>
        <w:rFonts w:ascii="Arial" w:hAnsi="Arial" w:hint="default"/>
      </w:rPr>
    </w:lvl>
    <w:lvl w:ilvl="6" w:tplc="2F229CFC" w:tentative="1">
      <w:start w:val="1"/>
      <w:numFmt w:val="bullet"/>
      <w:lvlText w:val="•"/>
      <w:lvlJc w:val="left"/>
      <w:pPr>
        <w:tabs>
          <w:tab w:val="num" w:pos="5040"/>
        </w:tabs>
        <w:ind w:left="5040" w:hanging="360"/>
      </w:pPr>
      <w:rPr>
        <w:rFonts w:ascii="Arial" w:hAnsi="Arial" w:hint="default"/>
      </w:rPr>
    </w:lvl>
    <w:lvl w:ilvl="7" w:tplc="F1B8E15A" w:tentative="1">
      <w:start w:val="1"/>
      <w:numFmt w:val="bullet"/>
      <w:lvlText w:val="•"/>
      <w:lvlJc w:val="left"/>
      <w:pPr>
        <w:tabs>
          <w:tab w:val="num" w:pos="5760"/>
        </w:tabs>
        <w:ind w:left="5760" w:hanging="360"/>
      </w:pPr>
      <w:rPr>
        <w:rFonts w:ascii="Arial" w:hAnsi="Arial" w:hint="default"/>
      </w:rPr>
    </w:lvl>
    <w:lvl w:ilvl="8" w:tplc="C310B28E" w:tentative="1">
      <w:start w:val="1"/>
      <w:numFmt w:val="bullet"/>
      <w:lvlText w:val="•"/>
      <w:lvlJc w:val="left"/>
      <w:pPr>
        <w:tabs>
          <w:tab w:val="num" w:pos="6480"/>
        </w:tabs>
        <w:ind w:left="6480" w:hanging="360"/>
      </w:pPr>
      <w:rPr>
        <w:rFonts w:ascii="Arial" w:hAnsi="Arial" w:hint="default"/>
      </w:rPr>
    </w:lvl>
  </w:abstractNum>
  <w:abstractNum w:abstractNumId="7">
    <w:nsid w:val="1D7C5641"/>
    <w:multiLevelType w:val="hybridMultilevel"/>
    <w:tmpl w:val="78F854CE"/>
    <w:lvl w:ilvl="0" w:tplc="CE16BF2C">
      <w:start w:val="1"/>
      <w:numFmt w:val="bullet"/>
      <w:lvlText w:val="•"/>
      <w:lvlJc w:val="left"/>
      <w:pPr>
        <w:tabs>
          <w:tab w:val="num" w:pos="720"/>
        </w:tabs>
        <w:ind w:left="720" w:hanging="360"/>
      </w:pPr>
      <w:rPr>
        <w:rFonts w:ascii="Arial" w:hAnsi="Arial" w:hint="default"/>
      </w:rPr>
    </w:lvl>
    <w:lvl w:ilvl="1" w:tplc="987C59CE" w:tentative="1">
      <w:start w:val="1"/>
      <w:numFmt w:val="bullet"/>
      <w:lvlText w:val="•"/>
      <w:lvlJc w:val="left"/>
      <w:pPr>
        <w:tabs>
          <w:tab w:val="num" w:pos="1440"/>
        </w:tabs>
        <w:ind w:left="1440" w:hanging="360"/>
      </w:pPr>
      <w:rPr>
        <w:rFonts w:ascii="Arial" w:hAnsi="Arial" w:hint="default"/>
      </w:rPr>
    </w:lvl>
    <w:lvl w:ilvl="2" w:tplc="AC54827A" w:tentative="1">
      <w:start w:val="1"/>
      <w:numFmt w:val="bullet"/>
      <w:lvlText w:val="•"/>
      <w:lvlJc w:val="left"/>
      <w:pPr>
        <w:tabs>
          <w:tab w:val="num" w:pos="2160"/>
        </w:tabs>
        <w:ind w:left="2160" w:hanging="360"/>
      </w:pPr>
      <w:rPr>
        <w:rFonts w:ascii="Arial" w:hAnsi="Arial" w:hint="default"/>
      </w:rPr>
    </w:lvl>
    <w:lvl w:ilvl="3" w:tplc="1C624C9C" w:tentative="1">
      <w:start w:val="1"/>
      <w:numFmt w:val="bullet"/>
      <w:lvlText w:val="•"/>
      <w:lvlJc w:val="left"/>
      <w:pPr>
        <w:tabs>
          <w:tab w:val="num" w:pos="2880"/>
        </w:tabs>
        <w:ind w:left="2880" w:hanging="360"/>
      </w:pPr>
      <w:rPr>
        <w:rFonts w:ascii="Arial" w:hAnsi="Arial" w:hint="default"/>
      </w:rPr>
    </w:lvl>
    <w:lvl w:ilvl="4" w:tplc="5394C408" w:tentative="1">
      <w:start w:val="1"/>
      <w:numFmt w:val="bullet"/>
      <w:lvlText w:val="•"/>
      <w:lvlJc w:val="left"/>
      <w:pPr>
        <w:tabs>
          <w:tab w:val="num" w:pos="3600"/>
        </w:tabs>
        <w:ind w:left="3600" w:hanging="360"/>
      </w:pPr>
      <w:rPr>
        <w:rFonts w:ascii="Arial" w:hAnsi="Arial" w:hint="default"/>
      </w:rPr>
    </w:lvl>
    <w:lvl w:ilvl="5" w:tplc="DFF0ACE8" w:tentative="1">
      <w:start w:val="1"/>
      <w:numFmt w:val="bullet"/>
      <w:lvlText w:val="•"/>
      <w:lvlJc w:val="left"/>
      <w:pPr>
        <w:tabs>
          <w:tab w:val="num" w:pos="4320"/>
        </w:tabs>
        <w:ind w:left="4320" w:hanging="360"/>
      </w:pPr>
      <w:rPr>
        <w:rFonts w:ascii="Arial" w:hAnsi="Arial" w:hint="default"/>
      </w:rPr>
    </w:lvl>
    <w:lvl w:ilvl="6" w:tplc="BFD8430E" w:tentative="1">
      <w:start w:val="1"/>
      <w:numFmt w:val="bullet"/>
      <w:lvlText w:val="•"/>
      <w:lvlJc w:val="left"/>
      <w:pPr>
        <w:tabs>
          <w:tab w:val="num" w:pos="5040"/>
        </w:tabs>
        <w:ind w:left="5040" w:hanging="360"/>
      </w:pPr>
      <w:rPr>
        <w:rFonts w:ascii="Arial" w:hAnsi="Arial" w:hint="default"/>
      </w:rPr>
    </w:lvl>
    <w:lvl w:ilvl="7" w:tplc="E9C01F86" w:tentative="1">
      <w:start w:val="1"/>
      <w:numFmt w:val="bullet"/>
      <w:lvlText w:val="•"/>
      <w:lvlJc w:val="left"/>
      <w:pPr>
        <w:tabs>
          <w:tab w:val="num" w:pos="5760"/>
        </w:tabs>
        <w:ind w:left="5760" w:hanging="360"/>
      </w:pPr>
      <w:rPr>
        <w:rFonts w:ascii="Arial" w:hAnsi="Arial" w:hint="default"/>
      </w:rPr>
    </w:lvl>
    <w:lvl w:ilvl="8" w:tplc="BC4071E8" w:tentative="1">
      <w:start w:val="1"/>
      <w:numFmt w:val="bullet"/>
      <w:lvlText w:val="•"/>
      <w:lvlJc w:val="left"/>
      <w:pPr>
        <w:tabs>
          <w:tab w:val="num" w:pos="6480"/>
        </w:tabs>
        <w:ind w:left="6480" w:hanging="360"/>
      </w:pPr>
      <w:rPr>
        <w:rFonts w:ascii="Arial" w:hAnsi="Arial" w:hint="default"/>
      </w:rPr>
    </w:lvl>
  </w:abstractNum>
  <w:abstractNum w:abstractNumId="8">
    <w:nsid w:val="1F2C0E64"/>
    <w:multiLevelType w:val="hybridMultilevel"/>
    <w:tmpl w:val="68BA4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BE18C3"/>
    <w:multiLevelType w:val="multilevel"/>
    <w:tmpl w:val="3B34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E5CA9"/>
    <w:multiLevelType w:val="multilevel"/>
    <w:tmpl w:val="FDD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86B68"/>
    <w:multiLevelType w:val="hybridMultilevel"/>
    <w:tmpl w:val="7AF8E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CC4D70"/>
    <w:multiLevelType w:val="hybridMultilevel"/>
    <w:tmpl w:val="7638B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621E1"/>
    <w:multiLevelType w:val="hybridMultilevel"/>
    <w:tmpl w:val="D06C6D36"/>
    <w:lvl w:ilvl="0" w:tplc="29586CF8">
      <w:start w:val="1"/>
      <w:numFmt w:val="bullet"/>
      <w:lvlText w:val="•"/>
      <w:lvlJc w:val="left"/>
      <w:pPr>
        <w:tabs>
          <w:tab w:val="num" w:pos="720"/>
        </w:tabs>
        <w:ind w:left="720" w:hanging="360"/>
      </w:pPr>
      <w:rPr>
        <w:rFonts w:ascii="Arial" w:hAnsi="Arial" w:hint="default"/>
      </w:rPr>
    </w:lvl>
    <w:lvl w:ilvl="1" w:tplc="F7447F6E" w:tentative="1">
      <w:start w:val="1"/>
      <w:numFmt w:val="bullet"/>
      <w:lvlText w:val="•"/>
      <w:lvlJc w:val="left"/>
      <w:pPr>
        <w:tabs>
          <w:tab w:val="num" w:pos="1440"/>
        </w:tabs>
        <w:ind w:left="1440" w:hanging="360"/>
      </w:pPr>
      <w:rPr>
        <w:rFonts w:ascii="Arial" w:hAnsi="Arial" w:hint="default"/>
      </w:rPr>
    </w:lvl>
    <w:lvl w:ilvl="2" w:tplc="1E46A424" w:tentative="1">
      <w:start w:val="1"/>
      <w:numFmt w:val="bullet"/>
      <w:lvlText w:val="•"/>
      <w:lvlJc w:val="left"/>
      <w:pPr>
        <w:tabs>
          <w:tab w:val="num" w:pos="2160"/>
        </w:tabs>
        <w:ind w:left="2160" w:hanging="360"/>
      </w:pPr>
      <w:rPr>
        <w:rFonts w:ascii="Arial" w:hAnsi="Arial" w:hint="default"/>
      </w:rPr>
    </w:lvl>
    <w:lvl w:ilvl="3" w:tplc="816A67A0" w:tentative="1">
      <w:start w:val="1"/>
      <w:numFmt w:val="bullet"/>
      <w:lvlText w:val="•"/>
      <w:lvlJc w:val="left"/>
      <w:pPr>
        <w:tabs>
          <w:tab w:val="num" w:pos="2880"/>
        </w:tabs>
        <w:ind w:left="2880" w:hanging="360"/>
      </w:pPr>
      <w:rPr>
        <w:rFonts w:ascii="Arial" w:hAnsi="Arial" w:hint="default"/>
      </w:rPr>
    </w:lvl>
    <w:lvl w:ilvl="4" w:tplc="E5BCEA8C" w:tentative="1">
      <w:start w:val="1"/>
      <w:numFmt w:val="bullet"/>
      <w:lvlText w:val="•"/>
      <w:lvlJc w:val="left"/>
      <w:pPr>
        <w:tabs>
          <w:tab w:val="num" w:pos="3600"/>
        </w:tabs>
        <w:ind w:left="3600" w:hanging="360"/>
      </w:pPr>
      <w:rPr>
        <w:rFonts w:ascii="Arial" w:hAnsi="Arial" w:hint="default"/>
      </w:rPr>
    </w:lvl>
    <w:lvl w:ilvl="5" w:tplc="99607760" w:tentative="1">
      <w:start w:val="1"/>
      <w:numFmt w:val="bullet"/>
      <w:lvlText w:val="•"/>
      <w:lvlJc w:val="left"/>
      <w:pPr>
        <w:tabs>
          <w:tab w:val="num" w:pos="4320"/>
        </w:tabs>
        <w:ind w:left="4320" w:hanging="360"/>
      </w:pPr>
      <w:rPr>
        <w:rFonts w:ascii="Arial" w:hAnsi="Arial" w:hint="default"/>
      </w:rPr>
    </w:lvl>
    <w:lvl w:ilvl="6" w:tplc="1834FA5A" w:tentative="1">
      <w:start w:val="1"/>
      <w:numFmt w:val="bullet"/>
      <w:lvlText w:val="•"/>
      <w:lvlJc w:val="left"/>
      <w:pPr>
        <w:tabs>
          <w:tab w:val="num" w:pos="5040"/>
        </w:tabs>
        <w:ind w:left="5040" w:hanging="360"/>
      </w:pPr>
      <w:rPr>
        <w:rFonts w:ascii="Arial" w:hAnsi="Arial" w:hint="default"/>
      </w:rPr>
    </w:lvl>
    <w:lvl w:ilvl="7" w:tplc="DD0CA792" w:tentative="1">
      <w:start w:val="1"/>
      <w:numFmt w:val="bullet"/>
      <w:lvlText w:val="•"/>
      <w:lvlJc w:val="left"/>
      <w:pPr>
        <w:tabs>
          <w:tab w:val="num" w:pos="5760"/>
        </w:tabs>
        <w:ind w:left="5760" w:hanging="360"/>
      </w:pPr>
      <w:rPr>
        <w:rFonts w:ascii="Arial" w:hAnsi="Arial" w:hint="default"/>
      </w:rPr>
    </w:lvl>
    <w:lvl w:ilvl="8" w:tplc="3ACAAD44" w:tentative="1">
      <w:start w:val="1"/>
      <w:numFmt w:val="bullet"/>
      <w:lvlText w:val="•"/>
      <w:lvlJc w:val="left"/>
      <w:pPr>
        <w:tabs>
          <w:tab w:val="num" w:pos="6480"/>
        </w:tabs>
        <w:ind w:left="6480" w:hanging="360"/>
      </w:pPr>
      <w:rPr>
        <w:rFonts w:ascii="Arial" w:hAnsi="Arial" w:hint="default"/>
      </w:rPr>
    </w:lvl>
  </w:abstractNum>
  <w:abstractNum w:abstractNumId="14">
    <w:nsid w:val="6B3F1757"/>
    <w:multiLevelType w:val="hybridMultilevel"/>
    <w:tmpl w:val="1B4CBCB2"/>
    <w:lvl w:ilvl="0" w:tplc="8B7699E4">
      <w:start w:val="1"/>
      <w:numFmt w:val="bullet"/>
      <w:lvlText w:val="•"/>
      <w:lvlJc w:val="left"/>
      <w:pPr>
        <w:tabs>
          <w:tab w:val="num" w:pos="720"/>
        </w:tabs>
        <w:ind w:left="720" w:hanging="360"/>
      </w:pPr>
      <w:rPr>
        <w:rFonts w:ascii="Arial" w:hAnsi="Arial" w:hint="default"/>
      </w:rPr>
    </w:lvl>
    <w:lvl w:ilvl="1" w:tplc="532AFA80" w:tentative="1">
      <w:start w:val="1"/>
      <w:numFmt w:val="bullet"/>
      <w:lvlText w:val="•"/>
      <w:lvlJc w:val="left"/>
      <w:pPr>
        <w:tabs>
          <w:tab w:val="num" w:pos="1440"/>
        </w:tabs>
        <w:ind w:left="1440" w:hanging="360"/>
      </w:pPr>
      <w:rPr>
        <w:rFonts w:ascii="Arial" w:hAnsi="Arial" w:hint="default"/>
      </w:rPr>
    </w:lvl>
    <w:lvl w:ilvl="2" w:tplc="957C5E58" w:tentative="1">
      <w:start w:val="1"/>
      <w:numFmt w:val="bullet"/>
      <w:lvlText w:val="•"/>
      <w:lvlJc w:val="left"/>
      <w:pPr>
        <w:tabs>
          <w:tab w:val="num" w:pos="2160"/>
        </w:tabs>
        <w:ind w:left="2160" w:hanging="360"/>
      </w:pPr>
      <w:rPr>
        <w:rFonts w:ascii="Arial" w:hAnsi="Arial" w:hint="default"/>
      </w:rPr>
    </w:lvl>
    <w:lvl w:ilvl="3" w:tplc="DF00B5AA" w:tentative="1">
      <w:start w:val="1"/>
      <w:numFmt w:val="bullet"/>
      <w:lvlText w:val="•"/>
      <w:lvlJc w:val="left"/>
      <w:pPr>
        <w:tabs>
          <w:tab w:val="num" w:pos="2880"/>
        </w:tabs>
        <w:ind w:left="2880" w:hanging="360"/>
      </w:pPr>
      <w:rPr>
        <w:rFonts w:ascii="Arial" w:hAnsi="Arial" w:hint="default"/>
      </w:rPr>
    </w:lvl>
    <w:lvl w:ilvl="4" w:tplc="AA0AEF36" w:tentative="1">
      <w:start w:val="1"/>
      <w:numFmt w:val="bullet"/>
      <w:lvlText w:val="•"/>
      <w:lvlJc w:val="left"/>
      <w:pPr>
        <w:tabs>
          <w:tab w:val="num" w:pos="3600"/>
        </w:tabs>
        <w:ind w:left="3600" w:hanging="360"/>
      </w:pPr>
      <w:rPr>
        <w:rFonts w:ascii="Arial" w:hAnsi="Arial" w:hint="default"/>
      </w:rPr>
    </w:lvl>
    <w:lvl w:ilvl="5" w:tplc="897608BA" w:tentative="1">
      <w:start w:val="1"/>
      <w:numFmt w:val="bullet"/>
      <w:lvlText w:val="•"/>
      <w:lvlJc w:val="left"/>
      <w:pPr>
        <w:tabs>
          <w:tab w:val="num" w:pos="4320"/>
        </w:tabs>
        <w:ind w:left="4320" w:hanging="360"/>
      </w:pPr>
      <w:rPr>
        <w:rFonts w:ascii="Arial" w:hAnsi="Arial" w:hint="default"/>
      </w:rPr>
    </w:lvl>
    <w:lvl w:ilvl="6" w:tplc="3BFCAAEA" w:tentative="1">
      <w:start w:val="1"/>
      <w:numFmt w:val="bullet"/>
      <w:lvlText w:val="•"/>
      <w:lvlJc w:val="left"/>
      <w:pPr>
        <w:tabs>
          <w:tab w:val="num" w:pos="5040"/>
        </w:tabs>
        <w:ind w:left="5040" w:hanging="360"/>
      </w:pPr>
      <w:rPr>
        <w:rFonts w:ascii="Arial" w:hAnsi="Arial" w:hint="default"/>
      </w:rPr>
    </w:lvl>
    <w:lvl w:ilvl="7" w:tplc="78FE3AB6" w:tentative="1">
      <w:start w:val="1"/>
      <w:numFmt w:val="bullet"/>
      <w:lvlText w:val="•"/>
      <w:lvlJc w:val="left"/>
      <w:pPr>
        <w:tabs>
          <w:tab w:val="num" w:pos="5760"/>
        </w:tabs>
        <w:ind w:left="5760" w:hanging="360"/>
      </w:pPr>
      <w:rPr>
        <w:rFonts w:ascii="Arial" w:hAnsi="Arial" w:hint="default"/>
      </w:rPr>
    </w:lvl>
    <w:lvl w:ilvl="8" w:tplc="E8DE4BAE" w:tentative="1">
      <w:start w:val="1"/>
      <w:numFmt w:val="bullet"/>
      <w:lvlText w:val="•"/>
      <w:lvlJc w:val="left"/>
      <w:pPr>
        <w:tabs>
          <w:tab w:val="num" w:pos="6480"/>
        </w:tabs>
        <w:ind w:left="6480" w:hanging="360"/>
      </w:pPr>
      <w:rPr>
        <w:rFonts w:ascii="Arial" w:hAnsi="Arial" w:hint="default"/>
      </w:rPr>
    </w:lvl>
  </w:abstractNum>
  <w:abstractNum w:abstractNumId="15">
    <w:nsid w:val="6E2F5961"/>
    <w:multiLevelType w:val="hybridMultilevel"/>
    <w:tmpl w:val="5D10C0C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nsid w:val="72765AA7"/>
    <w:multiLevelType w:val="hybridMultilevel"/>
    <w:tmpl w:val="80860750"/>
    <w:lvl w:ilvl="0" w:tplc="31BAFEEE">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7">
    <w:nsid w:val="75614E7A"/>
    <w:multiLevelType w:val="hybridMultilevel"/>
    <w:tmpl w:val="AEAA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A9C0D7E"/>
    <w:multiLevelType w:val="hybridMultilevel"/>
    <w:tmpl w:val="842A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
  </w:num>
  <w:num w:numId="5">
    <w:abstractNumId w:val="14"/>
  </w:num>
  <w:num w:numId="6">
    <w:abstractNumId w:val="7"/>
  </w:num>
  <w:num w:numId="7">
    <w:abstractNumId w:val="11"/>
  </w:num>
  <w:num w:numId="8">
    <w:abstractNumId w:val="6"/>
  </w:num>
  <w:num w:numId="9">
    <w:abstractNumId w:val="18"/>
  </w:num>
  <w:num w:numId="10">
    <w:abstractNumId w:val="8"/>
  </w:num>
  <w:num w:numId="11">
    <w:abstractNumId w:val="17"/>
  </w:num>
  <w:num w:numId="12">
    <w:abstractNumId w:val="4"/>
  </w:num>
  <w:num w:numId="13">
    <w:abstractNumId w:val="9"/>
  </w:num>
  <w:num w:numId="14">
    <w:abstractNumId w:val="16"/>
  </w:num>
  <w:num w:numId="15">
    <w:abstractNumId w:val="12"/>
  </w:num>
  <w:num w:numId="16">
    <w:abstractNumId w:val="0"/>
  </w:num>
  <w:num w:numId="17">
    <w:abstractNumId w:val="1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3BF0"/>
    <w:rsid w:val="00000530"/>
    <w:rsid w:val="00010B45"/>
    <w:rsid w:val="0001420C"/>
    <w:rsid w:val="00015DC4"/>
    <w:rsid w:val="000464A9"/>
    <w:rsid w:val="00055360"/>
    <w:rsid w:val="000578B6"/>
    <w:rsid w:val="00065065"/>
    <w:rsid w:val="000664D2"/>
    <w:rsid w:val="000707AE"/>
    <w:rsid w:val="000749FA"/>
    <w:rsid w:val="00081AB6"/>
    <w:rsid w:val="00081B89"/>
    <w:rsid w:val="000A1177"/>
    <w:rsid w:val="000A1C1B"/>
    <w:rsid w:val="000A329E"/>
    <w:rsid w:val="000A3C9A"/>
    <w:rsid w:val="000B779C"/>
    <w:rsid w:val="000C1BA8"/>
    <w:rsid w:val="000C203D"/>
    <w:rsid w:val="000D3E5E"/>
    <w:rsid w:val="000D4718"/>
    <w:rsid w:val="000E20E3"/>
    <w:rsid w:val="000F5860"/>
    <w:rsid w:val="001010C8"/>
    <w:rsid w:val="001254D9"/>
    <w:rsid w:val="00132FBE"/>
    <w:rsid w:val="0014051E"/>
    <w:rsid w:val="00141125"/>
    <w:rsid w:val="00144502"/>
    <w:rsid w:val="00150747"/>
    <w:rsid w:val="00164BEE"/>
    <w:rsid w:val="001713D5"/>
    <w:rsid w:val="00175A44"/>
    <w:rsid w:val="001853D3"/>
    <w:rsid w:val="001A3B25"/>
    <w:rsid w:val="001B33A1"/>
    <w:rsid w:val="001B6AC1"/>
    <w:rsid w:val="001D1520"/>
    <w:rsid w:val="001D18B2"/>
    <w:rsid w:val="001D1C4B"/>
    <w:rsid w:val="001D26FE"/>
    <w:rsid w:val="001D4D5C"/>
    <w:rsid w:val="001D5E66"/>
    <w:rsid w:val="001E1158"/>
    <w:rsid w:val="001F4A75"/>
    <w:rsid w:val="001F61C6"/>
    <w:rsid w:val="001F714A"/>
    <w:rsid w:val="00201E83"/>
    <w:rsid w:val="00221D5D"/>
    <w:rsid w:val="002301C9"/>
    <w:rsid w:val="002515F3"/>
    <w:rsid w:val="00251A90"/>
    <w:rsid w:val="00252ACA"/>
    <w:rsid w:val="00262B76"/>
    <w:rsid w:val="002635BD"/>
    <w:rsid w:val="00271750"/>
    <w:rsid w:val="0027521A"/>
    <w:rsid w:val="00277B62"/>
    <w:rsid w:val="002A01E0"/>
    <w:rsid w:val="002A1B53"/>
    <w:rsid w:val="002A2232"/>
    <w:rsid w:val="002A3861"/>
    <w:rsid w:val="002A64D4"/>
    <w:rsid w:val="002B3989"/>
    <w:rsid w:val="002B6587"/>
    <w:rsid w:val="002C0668"/>
    <w:rsid w:val="002C5C38"/>
    <w:rsid w:val="002D10F0"/>
    <w:rsid w:val="002E4887"/>
    <w:rsid w:val="00306992"/>
    <w:rsid w:val="00321B88"/>
    <w:rsid w:val="00322D5C"/>
    <w:rsid w:val="00325E7B"/>
    <w:rsid w:val="003269ED"/>
    <w:rsid w:val="00370361"/>
    <w:rsid w:val="00373442"/>
    <w:rsid w:val="00374268"/>
    <w:rsid w:val="0038592A"/>
    <w:rsid w:val="003B48F0"/>
    <w:rsid w:val="003B5EAF"/>
    <w:rsid w:val="003D061B"/>
    <w:rsid w:val="003E13E3"/>
    <w:rsid w:val="003E2068"/>
    <w:rsid w:val="003E2694"/>
    <w:rsid w:val="003F0B37"/>
    <w:rsid w:val="003F5687"/>
    <w:rsid w:val="004003B8"/>
    <w:rsid w:val="004152AE"/>
    <w:rsid w:val="00420454"/>
    <w:rsid w:val="00421EAE"/>
    <w:rsid w:val="00423E95"/>
    <w:rsid w:val="00440EE6"/>
    <w:rsid w:val="0044100E"/>
    <w:rsid w:val="00442F4F"/>
    <w:rsid w:val="00444F5F"/>
    <w:rsid w:val="00456D80"/>
    <w:rsid w:val="00460604"/>
    <w:rsid w:val="00463DE9"/>
    <w:rsid w:val="0047283E"/>
    <w:rsid w:val="00472966"/>
    <w:rsid w:val="004858FA"/>
    <w:rsid w:val="00485B91"/>
    <w:rsid w:val="004869A1"/>
    <w:rsid w:val="004A63DC"/>
    <w:rsid w:val="004A6F5D"/>
    <w:rsid w:val="004B6588"/>
    <w:rsid w:val="004C13AC"/>
    <w:rsid w:val="004D507A"/>
    <w:rsid w:val="004E07B0"/>
    <w:rsid w:val="004F3565"/>
    <w:rsid w:val="004F4438"/>
    <w:rsid w:val="00502080"/>
    <w:rsid w:val="00517F0C"/>
    <w:rsid w:val="0052110D"/>
    <w:rsid w:val="00522433"/>
    <w:rsid w:val="00524147"/>
    <w:rsid w:val="00527872"/>
    <w:rsid w:val="0053731F"/>
    <w:rsid w:val="00542479"/>
    <w:rsid w:val="00554C67"/>
    <w:rsid w:val="005643D0"/>
    <w:rsid w:val="005740CC"/>
    <w:rsid w:val="00576177"/>
    <w:rsid w:val="00580492"/>
    <w:rsid w:val="00584750"/>
    <w:rsid w:val="00585C91"/>
    <w:rsid w:val="005A3254"/>
    <w:rsid w:val="005A6FA7"/>
    <w:rsid w:val="005B3807"/>
    <w:rsid w:val="005C3E30"/>
    <w:rsid w:val="005C58BB"/>
    <w:rsid w:val="005C7134"/>
    <w:rsid w:val="005D1BF3"/>
    <w:rsid w:val="005D1D77"/>
    <w:rsid w:val="005D62C1"/>
    <w:rsid w:val="005E45D5"/>
    <w:rsid w:val="005E5688"/>
    <w:rsid w:val="005E7CCF"/>
    <w:rsid w:val="005F08E1"/>
    <w:rsid w:val="005F546E"/>
    <w:rsid w:val="00603D07"/>
    <w:rsid w:val="006112D8"/>
    <w:rsid w:val="00616FA7"/>
    <w:rsid w:val="00631AB4"/>
    <w:rsid w:val="006367DF"/>
    <w:rsid w:val="006455AB"/>
    <w:rsid w:val="00646FDA"/>
    <w:rsid w:val="00652494"/>
    <w:rsid w:val="006544DD"/>
    <w:rsid w:val="00656B62"/>
    <w:rsid w:val="006573EC"/>
    <w:rsid w:val="006573FD"/>
    <w:rsid w:val="0066594C"/>
    <w:rsid w:val="006725B9"/>
    <w:rsid w:val="006760B1"/>
    <w:rsid w:val="0067669B"/>
    <w:rsid w:val="006A0368"/>
    <w:rsid w:val="006B781C"/>
    <w:rsid w:val="006C0347"/>
    <w:rsid w:val="006C7DF5"/>
    <w:rsid w:val="006D0CE3"/>
    <w:rsid w:val="006D4040"/>
    <w:rsid w:val="006D78E3"/>
    <w:rsid w:val="006E1050"/>
    <w:rsid w:val="006E405D"/>
    <w:rsid w:val="006F19D9"/>
    <w:rsid w:val="0070173C"/>
    <w:rsid w:val="00702E63"/>
    <w:rsid w:val="007202C2"/>
    <w:rsid w:val="007263A8"/>
    <w:rsid w:val="00727A9C"/>
    <w:rsid w:val="00741961"/>
    <w:rsid w:val="0074382C"/>
    <w:rsid w:val="00747F13"/>
    <w:rsid w:val="007507CC"/>
    <w:rsid w:val="0075192A"/>
    <w:rsid w:val="00753B33"/>
    <w:rsid w:val="00761193"/>
    <w:rsid w:val="0076371C"/>
    <w:rsid w:val="00766D16"/>
    <w:rsid w:val="007679BA"/>
    <w:rsid w:val="00767C31"/>
    <w:rsid w:val="0077178F"/>
    <w:rsid w:val="00774FE9"/>
    <w:rsid w:val="00787DD5"/>
    <w:rsid w:val="007916A4"/>
    <w:rsid w:val="0079561F"/>
    <w:rsid w:val="00795784"/>
    <w:rsid w:val="007A1B85"/>
    <w:rsid w:val="007B144D"/>
    <w:rsid w:val="007B32F4"/>
    <w:rsid w:val="007B3F14"/>
    <w:rsid w:val="007B7190"/>
    <w:rsid w:val="007C4E34"/>
    <w:rsid w:val="007E30FD"/>
    <w:rsid w:val="007F3BD2"/>
    <w:rsid w:val="0082084F"/>
    <w:rsid w:val="00820F7E"/>
    <w:rsid w:val="00827BC7"/>
    <w:rsid w:val="00832AAE"/>
    <w:rsid w:val="00833D8E"/>
    <w:rsid w:val="008366FE"/>
    <w:rsid w:val="00841753"/>
    <w:rsid w:val="00844E64"/>
    <w:rsid w:val="00847049"/>
    <w:rsid w:val="00855D5A"/>
    <w:rsid w:val="008609CB"/>
    <w:rsid w:val="00863358"/>
    <w:rsid w:val="00865A1A"/>
    <w:rsid w:val="00877601"/>
    <w:rsid w:val="00880516"/>
    <w:rsid w:val="00884BE2"/>
    <w:rsid w:val="00887551"/>
    <w:rsid w:val="008930B1"/>
    <w:rsid w:val="008B5961"/>
    <w:rsid w:val="008C3858"/>
    <w:rsid w:val="008D0D89"/>
    <w:rsid w:val="008D2EF2"/>
    <w:rsid w:val="008D5E71"/>
    <w:rsid w:val="008D75AA"/>
    <w:rsid w:val="008E1310"/>
    <w:rsid w:val="008F263D"/>
    <w:rsid w:val="008F456E"/>
    <w:rsid w:val="00920DDB"/>
    <w:rsid w:val="00932C97"/>
    <w:rsid w:val="00936966"/>
    <w:rsid w:val="00943ECE"/>
    <w:rsid w:val="009463D3"/>
    <w:rsid w:val="00962CB2"/>
    <w:rsid w:val="009825A9"/>
    <w:rsid w:val="009856BB"/>
    <w:rsid w:val="00993383"/>
    <w:rsid w:val="009A3D7B"/>
    <w:rsid w:val="009A6C43"/>
    <w:rsid w:val="009B2EBC"/>
    <w:rsid w:val="009C2413"/>
    <w:rsid w:val="009F661B"/>
    <w:rsid w:val="00A13BA6"/>
    <w:rsid w:val="00A16225"/>
    <w:rsid w:val="00A273E7"/>
    <w:rsid w:val="00A34C14"/>
    <w:rsid w:val="00A35878"/>
    <w:rsid w:val="00A3722E"/>
    <w:rsid w:val="00A41BCB"/>
    <w:rsid w:val="00A44FF8"/>
    <w:rsid w:val="00A47E97"/>
    <w:rsid w:val="00A512B0"/>
    <w:rsid w:val="00A53D39"/>
    <w:rsid w:val="00A55173"/>
    <w:rsid w:val="00A57628"/>
    <w:rsid w:val="00A57C99"/>
    <w:rsid w:val="00A722F3"/>
    <w:rsid w:val="00A73AB4"/>
    <w:rsid w:val="00A77F23"/>
    <w:rsid w:val="00A825DE"/>
    <w:rsid w:val="00A8431F"/>
    <w:rsid w:val="00A90191"/>
    <w:rsid w:val="00A94D5F"/>
    <w:rsid w:val="00A95545"/>
    <w:rsid w:val="00A957C0"/>
    <w:rsid w:val="00AA48EE"/>
    <w:rsid w:val="00AA64BF"/>
    <w:rsid w:val="00AB2152"/>
    <w:rsid w:val="00AB3AA2"/>
    <w:rsid w:val="00AB65D8"/>
    <w:rsid w:val="00AB72FC"/>
    <w:rsid w:val="00AC1353"/>
    <w:rsid w:val="00AC1939"/>
    <w:rsid w:val="00AC5654"/>
    <w:rsid w:val="00AD1055"/>
    <w:rsid w:val="00AD38D6"/>
    <w:rsid w:val="00AE5044"/>
    <w:rsid w:val="00B11AC1"/>
    <w:rsid w:val="00B14510"/>
    <w:rsid w:val="00B210A4"/>
    <w:rsid w:val="00B25724"/>
    <w:rsid w:val="00B31DAC"/>
    <w:rsid w:val="00B35230"/>
    <w:rsid w:val="00B454CF"/>
    <w:rsid w:val="00B53CD3"/>
    <w:rsid w:val="00B54D39"/>
    <w:rsid w:val="00B55459"/>
    <w:rsid w:val="00B575A9"/>
    <w:rsid w:val="00B57A52"/>
    <w:rsid w:val="00B63E12"/>
    <w:rsid w:val="00B72F90"/>
    <w:rsid w:val="00BA13BF"/>
    <w:rsid w:val="00BA2A94"/>
    <w:rsid w:val="00BB7F22"/>
    <w:rsid w:val="00BC4139"/>
    <w:rsid w:val="00BD148D"/>
    <w:rsid w:val="00BD4CEE"/>
    <w:rsid w:val="00BE2302"/>
    <w:rsid w:val="00BE79A3"/>
    <w:rsid w:val="00C05FFD"/>
    <w:rsid w:val="00C07A3D"/>
    <w:rsid w:val="00C168F5"/>
    <w:rsid w:val="00C16C21"/>
    <w:rsid w:val="00C42859"/>
    <w:rsid w:val="00C45791"/>
    <w:rsid w:val="00C47960"/>
    <w:rsid w:val="00C54205"/>
    <w:rsid w:val="00C74A67"/>
    <w:rsid w:val="00C74CD0"/>
    <w:rsid w:val="00C7728D"/>
    <w:rsid w:val="00C97CC7"/>
    <w:rsid w:val="00CA6DD0"/>
    <w:rsid w:val="00CB137F"/>
    <w:rsid w:val="00CD3117"/>
    <w:rsid w:val="00CD7BD2"/>
    <w:rsid w:val="00CE7749"/>
    <w:rsid w:val="00CF0979"/>
    <w:rsid w:val="00CF7ED2"/>
    <w:rsid w:val="00D030E2"/>
    <w:rsid w:val="00D126B9"/>
    <w:rsid w:val="00D20D70"/>
    <w:rsid w:val="00D22980"/>
    <w:rsid w:val="00D319CD"/>
    <w:rsid w:val="00D407BC"/>
    <w:rsid w:val="00D46A3F"/>
    <w:rsid w:val="00D47947"/>
    <w:rsid w:val="00D506DD"/>
    <w:rsid w:val="00D6260C"/>
    <w:rsid w:val="00D6370E"/>
    <w:rsid w:val="00D73B4B"/>
    <w:rsid w:val="00D74484"/>
    <w:rsid w:val="00D85ECF"/>
    <w:rsid w:val="00D90AC3"/>
    <w:rsid w:val="00D94546"/>
    <w:rsid w:val="00DA784E"/>
    <w:rsid w:val="00DD55F3"/>
    <w:rsid w:val="00DD6E7C"/>
    <w:rsid w:val="00DE0DD5"/>
    <w:rsid w:val="00DE39B5"/>
    <w:rsid w:val="00DE3D0B"/>
    <w:rsid w:val="00DE5DE3"/>
    <w:rsid w:val="00DF23A4"/>
    <w:rsid w:val="00DF5D10"/>
    <w:rsid w:val="00E0415F"/>
    <w:rsid w:val="00E06F54"/>
    <w:rsid w:val="00E14FE3"/>
    <w:rsid w:val="00E21AA8"/>
    <w:rsid w:val="00E2264F"/>
    <w:rsid w:val="00E22B66"/>
    <w:rsid w:val="00E25DBF"/>
    <w:rsid w:val="00E277E4"/>
    <w:rsid w:val="00E30F05"/>
    <w:rsid w:val="00E35792"/>
    <w:rsid w:val="00E461AA"/>
    <w:rsid w:val="00E50123"/>
    <w:rsid w:val="00E53A9D"/>
    <w:rsid w:val="00E6264C"/>
    <w:rsid w:val="00E80AE5"/>
    <w:rsid w:val="00E8556C"/>
    <w:rsid w:val="00E875A9"/>
    <w:rsid w:val="00E973DE"/>
    <w:rsid w:val="00EB1F0A"/>
    <w:rsid w:val="00EB6380"/>
    <w:rsid w:val="00ED4340"/>
    <w:rsid w:val="00ED6B87"/>
    <w:rsid w:val="00EE0E72"/>
    <w:rsid w:val="00EE1C9B"/>
    <w:rsid w:val="00EF3F47"/>
    <w:rsid w:val="00EF4D83"/>
    <w:rsid w:val="00F25069"/>
    <w:rsid w:val="00F358E5"/>
    <w:rsid w:val="00F36223"/>
    <w:rsid w:val="00F51746"/>
    <w:rsid w:val="00F52EAA"/>
    <w:rsid w:val="00F5524E"/>
    <w:rsid w:val="00F7149E"/>
    <w:rsid w:val="00F8248C"/>
    <w:rsid w:val="00FA3BF0"/>
    <w:rsid w:val="00FB108D"/>
    <w:rsid w:val="00FB2EE0"/>
    <w:rsid w:val="00FB4D09"/>
    <w:rsid w:val="00FB5475"/>
    <w:rsid w:val="00FC2AE5"/>
    <w:rsid w:val="00FC4823"/>
    <w:rsid w:val="00FC71CD"/>
    <w:rsid w:val="00FD4C1D"/>
    <w:rsid w:val="00FD75EF"/>
    <w:rsid w:val="00FE6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887"/>
  </w:style>
  <w:style w:type="paragraph" w:styleId="Nagwek3">
    <w:name w:val="heading 3"/>
    <w:basedOn w:val="Normalny"/>
    <w:next w:val="Normalny"/>
    <w:link w:val="Nagwek3Znak"/>
    <w:uiPriority w:val="9"/>
    <w:semiHidden/>
    <w:unhideWhenUsed/>
    <w:qFormat/>
    <w:rsid w:val="001A3B2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5F546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F546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D507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405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3DC"/>
    <w:rPr>
      <w:rFonts w:ascii="Tahoma" w:hAnsi="Tahoma" w:cs="Tahoma"/>
      <w:sz w:val="16"/>
      <w:szCs w:val="16"/>
    </w:rPr>
  </w:style>
  <w:style w:type="paragraph" w:customStyle="1" w:styleId="Default">
    <w:name w:val="Default"/>
    <w:rsid w:val="00841753"/>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8609CB"/>
    <w:rPr>
      <w:b/>
      <w:bCs/>
    </w:rPr>
  </w:style>
  <w:style w:type="character" w:customStyle="1" w:styleId="Ppogrubienie">
    <w:name w:val="_P_ – pogrubienie"/>
    <w:basedOn w:val="Domylnaczcionkaakapitu"/>
    <w:uiPriority w:val="1"/>
    <w:qFormat/>
    <w:rsid w:val="001D5E66"/>
    <w:rPr>
      <w:b/>
      <w:bCs w:val="0"/>
    </w:rPr>
  </w:style>
  <w:style w:type="character" w:customStyle="1" w:styleId="Nagwek3Znak">
    <w:name w:val="Nagłówek 3 Znak"/>
    <w:basedOn w:val="Domylnaczcionkaakapitu"/>
    <w:link w:val="Nagwek3"/>
    <w:uiPriority w:val="9"/>
    <w:semiHidden/>
    <w:rsid w:val="001A3B25"/>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1A3B25"/>
    <w:rPr>
      <w:color w:val="0000FF"/>
      <w:u w:val="single"/>
    </w:rPr>
  </w:style>
  <w:style w:type="character" w:styleId="Uwydatnienie">
    <w:name w:val="Emphasis"/>
    <w:basedOn w:val="Domylnaczcionkaakapitu"/>
    <w:uiPriority w:val="20"/>
    <w:qFormat/>
    <w:rsid w:val="004F3565"/>
    <w:rPr>
      <w:i/>
      <w:iCs/>
    </w:rPr>
  </w:style>
  <w:style w:type="paragraph" w:styleId="Nagwek">
    <w:name w:val="header"/>
    <w:basedOn w:val="Normalny"/>
    <w:link w:val="NagwekZnak"/>
    <w:uiPriority w:val="99"/>
    <w:semiHidden/>
    <w:unhideWhenUsed/>
    <w:rsid w:val="007957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5784"/>
  </w:style>
  <w:style w:type="paragraph" w:styleId="Stopka">
    <w:name w:val="footer"/>
    <w:basedOn w:val="Normalny"/>
    <w:link w:val="StopkaZnak"/>
    <w:uiPriority w:val="99"/>
    <w:unhideWhenUsed/>
    <w:rsid w:val="00795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784"/>
  </w:style>
</w:styles>
</file>

<file path=word/webSettings.xml><?xml version="1.0" encoding="utf-8"?>
<w:webSettings xmlns:r="http://schemas.openxmlformats.org/officeDocument/2006/relationships" xmlns:w="http://schemas.openxmlformats.org/wordprocessingml/2006/main">
  <w:divs>
    <w:div w:id="79912201">
      <w:bodyDiv w:val="1"/>
      <w:marLeft w:val="0"/>
      <w:marRight w:val="0"/>
      <w:marTop w:val="0"/>
      <w:marBottom w:val="0"/>
      <w:divBdr>
        <w:top w:val="none" w:sz="0" w:space="0" w:color="auto"/>
        <w:left w:val="none" w:sz="0" w:space="0" w:color="auto"/>
        <w:bottom w:val="none" w:sz="0" w:space="0" w:color="auto"/>
        <w:right w:val="none" w:sz="0" w:space="0" w:color="auto"/>
      </w:divBdr>
      <w:divsChild>
        <w:div w:id="1201162712">
          <w:marLeft w:val="547"/>
          <w:marRight w:val="0"/>
          <w:marTop w:val="154"/>
          <w:marBottom w:val="0"/>
          <w:divBdr>
            <w:top w:val="none" w:sz="0" w:space="0" w:color="auto"/>
            <w:left w:val="none" w:sz="0" w:space="0" w:color="auto"/>
            <w:bottom w:val="none" w:sz="0" w:space="0" w:color="auto"/>
            <w:right w:val="none" w:sz="0" w:space="0" w:color="auto"/>
          </w:divBdr>
        </w:div>
      </w:divsChild>
    </w:div>
    <w:div w:id="113912725">
      <w:bodyDiv w:val="1"/>
      <w:marLeft w:val="0"/>
      <w:marRight w:val="0"/>
      <w:marTop w:val="0"/>
      <w:marBottom w:val="0"/>
      <w:divBdr>
        <w:top w:val="none" w:sz="0" w:space="0" w:color="auto"/>
        <w:left w:val="none" w:sz="0" w:space="0" w:color="auto"/>
        <w:bottom w:val="none" w:sz="0" w:space="0" w:color="auto"/>
        <w:right w:val="none" w:sz="0" w:space="0" w:color="auto"/>
      </w:divBdr>
    </w:div>
    <w:div w:id="193226462">
      <w:bodyDiv w:val="1"/>
      <w:marLeft w:val="0"/>
      <w:marRight w:val="0"/>
      <w:marTop w:val="0"/>
      <w:marBottom w:val="0"/>
      <w:divBdr>
        <w:top w:val="none" w:sz="0" w:space="0" w:color="auto"/>
        <w:left w:val="none" w:sz="0" w:space="0" w:color="auto"/>
        <w:bottom w:val="none" w:sz="0" w:space="0" w:color="auto"/>
        <w:right w:val="none" w:sz="0" w:space="0" w:color="auto"/>
      </w:divBdr>
    </w:div>
    <w:div w:id="226036838">
      <w:bodyDiv w:val="1"/>
      <w:marLeft w:val="0"/>
      <w:marRight w:val="0"/>
      <w:marTop w:val="0"/>
      <w:marBottom w:val="0"/>
      <w:divBdr>
        <w:top w:val="none" w:sz="0" w:space="0" w:color="auto"/>
        <w:left w:val="none" w:sz="0" w:space="0" w:color="auto"/>
        <w:bottom w:val="none" w:sz="0" w:space="0" w:color="auto"/>
        <w:right w:val="none" w:sz="0" w:space="0" w:color="auto"/>
      </w:divBdr>
    </w:div>
    <w:div w:id="245771583">
      <w:bodyDiv w:val="1"/>
      <w:marLeft w:val="0"/>
      <w:marRight w:val="0"/>
      <w:marTop w:val="0"/>
      <w:marBottom w:val="0"/>
      <w:divBdr>
        <w:top w:val="none" w:sz="0" w:space="0" w:color="auto"/>
        <w:left w:val="none" w:sz="0" w:space="0" w:color="auto"/>
        <w:bottom w:val="none" w:sz="0" w:space="0" w:color="auto"/>
        <w:right w:val="none" w:sz="0" w:space="0" w:color="auto"/>
      </w:divBdr>
    </w:div>
    <w:div w:id="316610917">
      <w:bodyDiv w:val="1"/>
      <w:marLeft w:val="0"/>
      <w:marRight w:val="0"/>
      <w:marTop w:val="0"/>
      <w:marBottom w:val="0"/>
      <w:divBdr>
        <w:top w:val="none" w:sz="0" w:space="0" w:color="auto"/>
        <w:left w:val="none" w:sz="0" w:space="0" w:color="auto"/>
        <w:bottom w:val="none" w:sz="0" w:space="0" w:color="auto"/>
        <w:right w:val="none" w:sz="0" w:space="0" w:color="auto"/>
      </w:divBdr>
    </w:div>
    <w:div w:id="317658614">
      <w:bodyDiv w:val="1"/>
      <w:marLeft w:val="0"/>
      <w:marRight w:val="0"/>
      <w:marTop w:val="0"/>
      <w:marBottom w:val="0"/>
      <w:divBdr>
        <w:top w:val="none" w:sz="0" w:space="0" w:color="auto"/>
        <w:left w:val="none" w:sz="0" w:space="0" w:color="auto"/>
        <w:bottom w:val="none" w:sz="0" w:space="0" w:color="auto"/>
        <w:right w:val="none" w:sz="0" w:space="0" w:color="auto"/>
      </w:divBdr>
    </w:div>
    <w:div w:id="331181033">
      <w:bodyDiv w:val="1"/>
      <w:marLeft w:val="0"/>
      <w:marRight w:val="0"/>
      <w:marTop w:val="0"/>
      <w:marBottom w:val="0"/>
      <w:divBdr>
        <w:top w:val="none" w:sz="0" w:space="0" w:color="auto"/>
        <w:left w:val="none" w:sz="0" w:space="0" w:color="auto"/>
        <w:bottom w:val="none" w:sz="0" w:space="0" w:color="auto"/>
        <w:right w:val="none" w:sz="0" w:space="0" w:color="auto"/>
      </w:divBdr>
    </w:div>
    <w:div w:id="546378569">
      <w:bodyDiv w:val="1"/>
      <w:marLeft w:val="0"/>
      <w:marRight w:val="0"/>
      <w:marTop w:val="0"/>
      <w:marBottom w:val="0"/>
      <w:divBdr>
        <w:top w:val="none" w:sz="0" w:space="0" w:color="auto"/>
        <w:left w:val="none" w:sz="0" w:space="0" w:color="auto"/>
        <w:bottom w:val="none" w:sz="0" w:space="0" w:color="auto"/>
        <w:right w:val="none" w:sz="0" w:space="0" w:color="auto"/>
      </w:divBdr>
    </w:div>
    <w:div w:id="596212208">
      <w:bodyDiv w:val="1"/>
      <w:marLeft w:val="0"/>
      <w:marRight w:val="0"/>
      <w:marTop w:val="0"/>
      <w:marBottom w:val="0"/>
      <w:divBdr>
        <w:top w:val="none" w:sz="0" w:space="0" w:color="auto"/>
        <w:left w:val="none" w:sz="0" w:space="0" w:color="auto"/>
        <w:bottom w:val="none" w:sz="0" w:space="0" w:color="auto"/>
        <w:right w:val="none" w:sz="0" w:space="0" w:color="auto"/>
      </w:divBdr>
    </w:div>
    <w:div w:id="621303338">
      <w:bodyDiv w:val="1"/>
      <w:marLeft w:val="0"/>
      <w:marRight w:val="0"/>
      <w:marTop w:val="0"/>
      <w:marBottom w:val="0"/>
      <w:divBdr>
        <w:top w:val="none" w:sz="0" w:space="0" w:color="auto"/>
        <w:left w:val="none" w:sz="0" w:space="0" w:color="auto"/>
        <w:bottom w:val="none" w:sz="0" w:space="0" w:color="auto"/>
        <w:right w:val="none" w:sz="0" w:space="0" w:color="auto"/>
      </w:divBdr>
    </w:div>
    <w:div w:id="645429892">
      <w:bodyDiv w:val="1"/>
      <w:marLeft w:val="0"/>
      <w:marRight w:val="0"/>
      <w:marTop w:val="0"/>
      <w:marBottom w:val="0"/>
      <w:divBdr>
        <w:top w:val="none" w:sz="0" w:space="0" w:color="auto"/>
        <w:left w:val="none" w:sz="0" w:space="0" w:color="auto"/>
        <w:bottom w:val="none" w:sz="0" w:space="0" w:color="auto"/>
        <w:right w:val="none" w:sz="0" w:space="0" w:color="auto"/>
      </w:divBdr>
    </w:div>
    <w:div w:id="687177365">
      <w:bodyDiv w:val="1"/>
      <w:marLeft w:val="0"/>
      <w:marRight w:val="0"/>
      <w:marTop w:val="0"/>
      <w:marBottom w:val="0"/>
      <w:divBdr>
        <w:top w:val="none" w:sz="0" w:space="0" w:color="auto"/>
        <w:left w:val="none" w:sz="0" w:space="0" w:color="auto"/>
        <w:bottom w:val="none" w:sz="0" w:space="0" w:color="auto"/>
        <w:right w:val="none" w:sz="0" w:space="0" w:color="auto"/>
      </w:divBdr>
    </w:div>
    <w:div w:id="764350269">
      <w:bodyDiv w:val="1"/>
      <w:marLeft w:val="0"/>
      <w:marRight w:val="0"/>
      <w:marTop w:val="0"/>
      <w:marBottom w:val="0"/>
      <w:divBdr>
        <w:top w:val="none" w:sz="0" w:space="0" w:color="auto"/>
        <w:left w:val="none" w:sz="0" w:space="0" w:color="auto"/>
        <w:bottom w:val="none" w:sz="0" w:space="0" w:color="auto"/>
        <w:right w:val="none" w:sz="0" w:space="0" w:color="auto"/>
      </w:divBdr>
    </w:div>
    <w:div w:id="822158996">
      <w:bodyDiv w:val="1"/>
      <w:marLeft w:val="0"/>
      <w:marRight w:val="0"/>
      <w:marTop w:val="0"/>
      <w:marBottom w:val="0"/>
      <w:divBdr>
        <w:top w:val="none" w:sz="0" w:space="0" w:color="auto"/>
        <w:left w:val="none" w:sz="0" w:space="0" w:color="auto"/>
        <w:bottom w:val="none" w:sz="0" w:space="0" w:color="auto"/>
        <w:right w:val="none" w:sz="0" w:space="0" w:color="auto"/>
      </w:divBdr>
    </w:div>
    <w:div w:id="832915619">
      <w:bodyDiv w:val="1"/>
      <w:marLeft w:val="0"/>
      <w:marRight w:val="0"/>
      <w:marTop w:val="0"/>
      <w:marBottom w:val="0"/>
      <w:divBdr>
        <w:top w:val="none" w:sz="0" w:space="0" w:color="auto"/>
        <w:left w:val="none" w:sz="0" w:space="0" w:color="auto"/>
        <w:bottom w:val="none" w:sz="0" w:space="0" w:color="auto"/>
        <w:right w:val="none" w:sz="0" w:space="0" w:color="auto"/>
      </w:divBdr>
      <w:divsChild>
        <w:div w:id="1717703292">
          <w:marLeft w:val="547"/>
          <w:marRight w:val="0"/>
          <w:marTop w:val="154"/>
          <w:marBottom w:val="0"/>
          <w:divBdr>
            <w:top w:val="none" w:sz="0" w:space="0" w:color="auto"/>
            <w:left w:val="none" w:sz="0" w:space="0" w:color="auto"/>
            <w:bottom w:val="none" w:sz="0" w:space="0" w:color="auto"/>
            <w:right w:val="none" w:sz="0" w:space="0" w:color="auto"/>
          </w:divBdr>
        </w:div>
      </w:divsChild>
    </w:div>
    <w:div w:id="868833123">
      <w:bodyDiv w:val="1"/>
      <w:marLeft w:val="0"/>
      <w:marRight w:val="0"/>
      <w:marTop w:val="0"/>
      <w:marBottom w:val="0"/>
      <w:divBdr>
        <w:top w:val="none" w:sz="0" w:space="0" w:color="auto"/>
        <w:left w:val="none" w:sz="0" w:space="0" w:color="auto"/>
        <w:bottom w:val="none" w:sz="0" w:space="0" w:color="auto"/>
        <w:right w:val="none" w:sz="0" w:space="0" w:color="auto"/>
      </w:divBdr>
    </w:div>
    <w:div w:id="891118919">
      <w:bodyDiv w:val="1"/>
      <w:marLeft w:val="0"/>
      <w:marRight w:val="0"/>
      <w:marTop w:val="0"/>
      <w:marBottom w:val="0"/>
      <w:divBdr>
        <w:top w:val="none" w:sz="0" w:space="0" w:color="auto"/>
        <w:left w:val="none" w:sz="0" w:space="0" w:color="auto"/>
        <w:bottom w:val="none" w:sz="0" w:space="0" w:color="auto"/>
        <w:right w:val="none" w:sz="0" w:space="0" w:color="auto"/>
      </w:divBdr>
    </w:div>
    <w:div w:id="961423477">
      <w:bodyDiv w:val="1"/>
      <w:marLeft w:val="0"/>
      <w:marRight w:val="0"/>
      <w:marTop w:val="0"/>
      <w:marBottom w:val="0"/>
      <w:divBdr>
        <w:top w:val="none" w:sz="0" w:space="0" w:color="auto"/>
        <w:left w:val="none" w:sz="0" w:space="0" w:color="auto"/>
        <w:bottom w:val="none" w:sz="0" w:space="0" w:color="auto"/>
        <w:right w:val="none" w:sz="0" w:space="0" w:color="auto"/>
      </w:divBdr>
    </w:div>
    <w:div w:id="1034424912">
      <w:bodyDiv w:val="1"/>
      <w:marLeft w:val="0"/>
      <w:marRight w:val="0"/>
      <w:marTop w:val="0"/>
      <w:marBottom w:val="0"/>
      <w:divBdr>
        <w:top w:val="none" w:sz="0" w:space="0" w:color="auto"/>
        <w:left w:val="none" w:sz="0" w:space="0" w:color="auto"/>
        <w:bottom w:val="none" w:sz="0" w:space="0" w:color="auto"/>
        <w:right w:val="none" w:sz="0" w:space="0" w:color="auto"/>
      </w:divBdr>
    </w:div>
    <w:div w:id="1049187998">
      <w:bodyDiv w:val="1"/>
      <w:marLeft w:val="0"/>
      <w:marRight w:val="0"/>
      <w:marTop w:val="0"/>
      <w:marBottom w:val="0"/>
      <w:divBdr>
        <w:top w:val="none" w:sz="0" w:space="0" w:color="auto"/>
        <w:left w:val="none" w:sz="0" w:space="0" w:color="auto"/>
        <w:bottom w:val="none" w:sz="0" w:space="0" w:color="auto"/>
        <w:right w:val="none" w:sz="0" w:space="0" w:color="auto"/>
      </w:divBdr>
    </w:div>
    <w:div w:id="1072243041">
      <w:bodyDiv w:val="1"/>
      <w:marLeft w:val="0"/>
      <w:marRight w:val="0"/>
      <w:marTop w:val="0"/>
      <w:marBottom w:val="0"/>
      <w:divBdr>
        <w:top w:val="none" w:sz="0" w:space="0" w:color="auto"/>
        <w:left w:val="none" w:sz="0" w:space="0" w:color="auto"/>
        <w:bottom w:val="none" w:sz="0" w:space="0" w:color="auto"/>
        <w:right w:val="none" w:sz="0" w:space="0" w:color="auto"/>
      </w:divBdr>
    </w:div>
    <w:div w:id="1097481783">
      <w:bodyDiv w:val="1"/>
      <w:marLeft w:val="0"/>
      <w:marRight w:val="0"/>
      <w:marTop w:val="0"/>
      <w:marBottom w:val="0"/>
      <w:divBdr>
        <w:top w:val="none" w:sz="0" w:space="0" w:color="auto"/>
        <w:left w:val="none" w:sz="0" w:space="0" w:color="auto"/>
        <w:bottom w:val="none" w:sz="0" w:space="0" w:color="auto"/>
        <w:right w:val="none" w:sz="0" w:space="0" w:color="auto"/>
      </w:divBdr>
    </w:div>
    <w:div w:id="1179853462">
      <w:bodyDiv w:val="1"/>
      <w:marLeft w:val="0"/>
      <w:marRight w:val="0"/>
      <w:marTop w:val="0"/>
      <w:marBottom w:val="0"/>
      <w:divBdr>
        <w:top w:val="none" w:sz="0" w:space="0" w:color="auto"/>
        <w:left w:val="none" w:sz="0" w:space="0" w:color="auto"/>
        <w:bottom w:val="none" w:sz="0" w:space="0" w:color="auto"/>
        <w:right w:val="none" w:sz="0" w:space="0" w:color="auto"/>
      </w:divBdr>
      <w:divsChild>
        <w:div w:id="2129664354">
          <w:marLeft w:val="547"/>
          <w:marRight w:val="0"/>
          <w:marTop w:val="144"/>
          <w:marBottom w:val="0"/>
          <w:divBdr>
            <w:top w:val="none" w:sz="0" w:space="0" w:color="auto"/>
            <w:left w:val="none" w:sz="0" w:space="0" w:color="auto"/>
            <w:bottom w:val="none" w:sz="0" w:space="0" w:color="auto"/>
            <w:right w:val="none" w:sz="0" w:space="0" w:color="auto"/>
          </w:divBdr>
        </w:div>
      </w:divsChild>
    </w:div>
    <w:div w:id="1181505320">
      <w:bodyDiv w:val="1"/>
      <w:marLeft w:val="0"/>
      <w:marRight w:val="0"/>
      <w:marTop w:val="0"/>
      <w:marBottom w:val="0"/>
      <w:divBdr>
        <w:top w:val="none" w:sz="0" w:space="0" w:color="auto"/>
        <w:left w:val="none" w:sz="0" w:space="0" w:color="auto"/>
        <w:bottom w:val="none" w:sz="0" w:space="0" w:color="auto"/>
        <w:right w:val="none" w:sz="0" w:space="0" w:color="auto"/>
      </w:divBdr>
    </w:div>
    <w:div w:id="1223564048">
      <w:bodyDiv w:val="1"/>
      <w:marLeft w:val="0"/>
      <w:marRight w:val="0"/>
      <w:marTop w:val="0"/>
      <w:marBottom w:val="0"/>
      <w:divBdr>
        <w:top w:val="none" w:sz="0" w:space="0" w:color="auto"/>
        <w:left w:val="none" w:sz="0" w:space="0" w:color="auto"/>
        <w:bottom w:val="none" w:sz="0" w:space="0" w:color="auto"/>
        <w:right w:val="none" w:sz="0" w:space="0" w:color="auto"/>
      </w:divBdr>
    </w:div>
    <w:div w:id="1280454274">
      <w:bodyDiv w:val="1"/>
      <w:marLeft w:val="0"/>
      <w:marRight w:val="0"/>
      <w:marTop w:val="0"/>
      <w:marBottom w:val="0"/>
      <w:divBdr>
        <w:top w:val="none" w:sz="0" w:space="0" w:color="auto"/>
        <w:left w:val="none" w:sz="0" w:space="0" w:color="auto"/>
        <w:bottom w:val="none" w:sz="0" w:space="0" w:color="auto"/>
        <w:right w:val="none" w:sz="0" w:space="0" w:color="auto"/>
      </w:divBdr>
    </w:div>
    <w:div w:id="1349332910">
      <w:bodyDiv w:val="1"/>
      <w:marLeft w:val="0"/>
      <w:marRight w:val="0"/>
      <w:marTop w:val="0"/>
      <w:marBottom w:val="0"/>
      <w:divBdr>
        <w:top w:val="none" w:sz="0" w:space="0" w:color="auto"/>
        <w:left w:val="none" w:sz="0" w:space="0" w:color="auto"/>
        <w:bottom w:val="none" w:sz="0" w:space="0" w:color="auto"/>
        <w:right w:val="none" w:sz="0" w:space="0" w:color="auto"/>
      </w:divBdr>
    </w:div>
    <w:div w:id="1421754136">
      <w:bodyDiv w:val="1"/>
      <w:marLeft w:val="0"/>
      <w:marRight w:val="0"/>
      <w:marTop w:val="0"/>
      <w:marBottom w:val="0"/>
      <w:divBdr>
        <w:top w:val="none" w:sz="0" w:space="0" w:color="auto"/>
        <w:left w:val="none" w:sz="0" w:space="0" w:color="auto"/>
        <w:bottom w:val="none" w:sz="0" w:space="0" w:color="auto"/>
        <w:right w:val="none" w:sz="0" w:space="0" w:color="auto"/>
      </w:divBdr>
    </w:div>
    <w:div w:id="1443499576">
      <w:bodyDiv w:val="1"/>
      <w:marLeft w:val="0"/>
      <w:marRight w:val="0"/>
      <w:marTop w:val="0"/>
      <w:marBottom w:val="0"/>
      <w:divBdr>
        <w:top w:val="none" w:sz="0" w:space="0" w:color="auto"/>
        <w:left w:val="none" w:sz="0" w:space="0" w:color="auto"/>
        <w:bottom w:val="none" w:sz="0" w:space="0" w:color="auto"/>
        <w:right w:val="none" w:sz="0" w:space="0" w:color="auto"/>
      </w:divBdr>
      <w:divsChild>
        <w:div w:id="900288263">
          <w:marLeft w:val="547"/>
          <w:marRight w:val="0"/>
          <w:marTop w:val="154"/>
          <w:marBottom w:val="0"/>
          <w:divBdr>
            <w:top w:val="none" w:sz="0" w:space="0" w:color="auto"/>
            <w:left w:val="none" w:sz="0" w:space="0" w:color="auto"/>
            <w:bottom w:val="none" w:sz="0" w:space="0" w:color="auto"/>
            <w:right w:val="none" w:sz="0" w:space="0" w:color="auto"/>
          </w:divBdr>
        </w:div>
      </w:divsChild>
    </w:div>
    <w:div w:id="1455098095">
      <w:bodyDiv w:val="1"/>
      <w:marLeft w:val="0"/>
      <w:marRight w:val="0"/>
      <w:marTop w:val="0"/>
      <w:marBottom w:val="0"/>
      <w:divBdr>
        <w:top w:val="none" w:sz="0" w:space="0" w:color="auto"/>
        <w:left w:val="none" w:sz="0" w:space="0" w:color="auto"/>
        <w:bottom w:val="none" w:sz="0" w:space="0" w:color="auto"/>
        <w:right w:val="none" w:sz="0" w:space="0" w:color="auto"/>
      </w:divBdr>
    </w:div>
    <w:div w:id="1476294944">
      <w:bodyDiv w:val="1"/>
      <w:marLeft w:val="0"/>
      <w:marRight w:val="0"/>
      <w:marTop w:val="0"/>
      <w:marBottom w:val="0"/>
      <w:divBdr>
        <w:top w:val="none" w:sz="0" w:space="0" w:color="auto"/>
        <w:left w:val="none" w:sz="0" w:space="0" w:color="auto"/>
        <w:bottom w:val="none" w:sz="0" w:space="0" w:color="auto"/>
        <w:right w:val="none" w:sz="0" w:space="0" w:color="auto"/>
      </w:divBdr>
    </w:div>
    <w:div w:id="1477186581">
      <w:bodyDiv w:val="1"/>
      <w:marLeft w:val="0"/>
      <w:marRight w:val="0"/>
      <w:marTop w:val="0"/>
      <w:marBottom w:val="0"/>
      <w:divBdr>
        <w:top w:val="none" w:sz="0" w:space="0" w:color="auto"/>
        <w:left w:val="none" w:sz="0" w:space="0" w:color="auto"/>
        <w:bottom w:val="none" w:sz="0" w:space="0" w:color="auto"/>
        <w:right w:val="none" w:sz="0" w:space="0" w:color="auto"/>
      </w:divBdr>
    </w:div>
    <w:div w:id="1493983938">
      <w:bodyDiv w:val="1"/>
      <w:marLeft w:val="0"/>
      <w:marRight w:val="0"/>
      <w:marTop w:val="0"/>
      <w:marBottom w:val="0"/>
      <w:divBdr>
        <w:top w:val="none" w:sz="0" w:space="0" w:color="auto"/>
        <w:left w:val="none" w:sz="0" w:space="0" w:color="auto"/>
        <w:bottom w:val="none" w:sz="0" w:space="0" w:color="auto"/>
        <w:right w:val="none" w:sz="0" w:space="0" w:color="auto"/>
      </w:divBdr>
    </w:div>
    <w:div w:id="1558739035">
      <w:bodyDiv w:val="1"/>
      <w:marLeft w:val="0"/>
      <w:marRight w:val="0"/>
      <w:marTop w:val="0"/>
      <w:marBottom w:val="0"/>
      <w:divBdr>
        <w:top w:val="none" w:sz="0" w:space="0" w:color="auto"/>
        <w:left w:val="none" w:sz="0" w:space="0" w:color="auto"/>
        <w:bottom w:val="none" w:sz="0" w:space="0" w:color="auto"/>
        <w:right w:val="none" w:sz="0" w:space="0" w:color="auto"/>
      </w:divBdr>
    </w:div>
    <w:div w:id="1571114565">
      <w:bodyDiv w:val="1"/>
      <w:marLeft w:val="0"/>
      <w:marRight w:val="0"/>
      <w:marTop w:val="0"/>
      <w:marBottom w:val="0"/>
      <w:divBdr>
        <w:top w:val="none" w:sz="0" w:space="0" w:color="auto"/>
        <w:left w:val="none" w:sz="0" w:space="0" w:color="auto"/>
        <w:bottom w:val="none" w:sz="0" w:space="0" w:color="auto"/>
        <w:right w:val="none" w:sz="0" w:space="0" w:color="auto"/>
      </w:divBdr>
    </w:div>
    <w:div w:id="1595044871">
      <w:bodyDiv w:val="1"/>
      <w:marLeft w:val="0"/>
      <w:marRight w:val="0"/>
      <w:marTop w:val="0"/>
      <w:marBottom w:val="0"/>
      <w:divBdr>
        <w:top w:val="none" w:sz="0" w:space="0" w:color="auto"/>
        <w:left w:val="none" w:sz="0" w:space="0" w:color="auto"/>
        <w:bottom w:val="none" w:sz="0" w:space="0" w:color="auto"/>
        <w:right w:val="none" w:sz="0" w:space="0" w:color="auto"/>
      </w:divBdr>
      <w:divsChild>
        <w:div w:id="735592211">
          <w:marLeft w:val="547"/>
          <w:marRight w:val="0"/>
          <w:marTop w:val="154"/>
          <w:marBottom w:val="0"/>
          <w:divBdr>
            <w:top w:val="none" w:sz="0" w:space="0" w:color="auto"/>
            <w:left w:val="none" w:sz="0" w:space="0" w:color="auto"/>
            <w:bottom w:val="none" w:sz="0" w:space="0" w:color="auto"/>
            <w:right w:val="none" w:sz="0" w:space="0" w:color="auto"/>
          </w:divBdr>
        </w:div>
      </w:divsChild>
    </w:div>
    <w:div w:id="1632859544">
      <w:bodyDiv w:val="1"/>
      <w:marLeft w:val="0"/>
      <w:marRight w:val="0"/>
      <w:marTop w:val="0"/>
      <w:marBottom w:val="0"/>
      <w:divBdr>
        <w:top w:val="none" w:sz="0" w:space="0" w:color="auto"/>
        <w:left w:val="none" w:sz="0" w:space="0" w:color="auto"/>
        <w:bottom w:val="none" w:sz="0" w:space="0" w:color="auto"/>
        <w:right w:val="none" w:sz="0" w:space="0" w:color="auto"/>
      </w:divBdr>
      <w:divsChild>
        <w:div w:id="1330252366">
          <w:marLeft w:val="547"/>
          <w:marRight w:val="0"/>
          <w:marTop w:val="154"/>
          <w:marBottom w:val="0"/>
          <w:divBdr>
            <w:top w:val="none" w:sz="0" w:space="0" w:color="auto"/>
            <w:left w:val="none" w:sz="0" w:space="0" w:color="auto"/>
            <w:bottom w:val="none" w:sz="0" w:space="0" w:color="auto"/>
            <w:right w:val="none" w:sz="0" w:space="0" w:color="auto"/>
          </w:divBdr>
        </w:div>
      </w:divsChild>
    </w:div>
    <w:div w:id="1660885808">
      <w:bodyDiv w:val="1"/>
      <w:marLeft w:val="0"/>
      <w:marRight w:val="0"/>
      <w:marTop w:val="0"/>
      <w:marBottom w:val="0"/>
      <w:divBdr>
        <w:top w:val="none" w:sz="0" w:space="0" w:color="auto"/>
        <w:left w:val="none" w:sz="0" w:space="0" w:color="auto"/>
        <w:bottom w:val="none" w:sz="0" w:space="0" w:color="auto"/>
        <w:right w:val="none" w:sz="0" w:space="0" w:color="auto"/>
      </w:divBdr>
    </w:div>
    <w:div w:id="1708485977">
      <w:bodyDiv w:val="1"/>
      <w:marLeft w:val="0"/>
      <w:marRight w:val="0"/>
      <w:marTop w:val="0"/>
      <w:marBottom w:val="0"/>
      <w:divBdr>
        <w:top w:val="none" w:sz="0" w:space="0" w:color="auto"/>
        <w:left w:val="none" w:sz="0" w:space="0" w:color="auto"/>
        <w:bottom w:val="none" w:sz="0" w:space="0" w:color="auto"/>
        <w:right w:val="none" w:sz="0" w:space="0" w:color="auto"/>
      </w:divBdr>
    </w:div>
    <w:div w:id="1712538187">
      <w:bodyDiv w:val="1"/>
      <w:marLeft w:val="0"/>
      <w:marRight w:val="0"/>
      <w:marTop w:val="0"/>
      <w:marBottom w:val="0"/>
      <w:divBdr>
        <w:top w:val="none" w:sz="0" w:space="0" w:color="auto"/>
        <w:left w:val="none" w:sz="0" w:space="0" w:color="auto"/>
        <w:bottom w:val="none" w:sz="0" w:space="0" w:color="auto"/>
        <w:right w:val="none" w:sz="0" w:space="0" w:color="auto"/>
      </w:divBdr>
    </w:div>
    <w:div w:id="1719696579">
      <w:bodyDiv w:val="1"/>
      <w:marLeft w:val="0"/>
      <w:marRight w:val="0"/>
      <w:marTop w:val="0"/>
      <w:marBottom w:val="0"/>
      <w:divBdr>
        <w:top w:val="none" w:sz="0" w:space="0" w:color="auto"/>
        <w:left w:val="none" w:sz="0" w:space="0" w:color="auto"/>
        <w:bottom w:val="none" w:sz="0" w:space="0" w:color="auto"/>
        <w:right w:val="none" w:sz="0" w:space="0" w:color="auto"/>
      </w:divBdr>
    </w:div>
    <w:div w:id="1728721585">
      <w:bodyDiv w:val="1"/>
      <w:marLeft w:val="0"/>
      <w:marRight w:val="0"/>
      <w:marTop w:val="0"/>
      <w:marBottom w:val="0"/>
      <w:divBdr>
        <w:top w:val="none" w:sz="0" w:space="0" w:color="auto"/>
        <w:left w:val="none" w:sz="0" w:space="0" w:color="auto"/>
        <w:bottom w:val="none" w:sz="0" w:space="0" w:color="auto"/>
        <w:right w:val="none" w:sz="0" w:space="0" w:color="auto"/>
      </w:divBdr>
    </w:div>
    <w:div w:id="1756055135">
      <w:bodyDiv w:val="1"/>
      <w:marLeft w:val="0"/>
      <w:marRight w:val="0"/>
      <w:marTop w:val="0"/>
      <w:marBottom w:val="0"/>
      <w:divBdr>
        <w:top w:val="none" w:sz="0" w:space="0" w:color="auto"/>
        <w:left w:val="none" w:sz="0" w:space="0" w:color="auto"/>
        <w:bottom w:val="none" w:sz="0" w:space="0" w:color="auto"/>
        <w:right w:val="none" w:sz="0" w:space="0" w:color="auto"/>
      </w:divBdr>
    </w:div>
    <w:div w:id="1813714980">
      <w:bodyDiv w:val="1"/>
      <w:marLeft w:val="0"/>
      <w:marRight w:val="0"/>
      <w:marTop w:val="0"/>
      <w:marBottom w:val="0"/>
      <w:divBdr>
        <w:top w:val="none" w:sz="0" w:space="0" w:color="auto"/>
        <w:left w:val="none" w:sz="0" w:space="0" w:color="auto"/>
        <w:bottom w:val="none" w:sz="0" w:space="0" w:color="auto"/>
        <w:right w:val="none" w:sz="0" w:space="0" w:color="auto"/>
      </w:divBdr>
    </w:div>
    <w:div w:id="1923299792">
      <w:bodyDiv w:val="1"/>
      <w:marLeft w:val="0"/>
      <w:marRight w:val="0"/>
      <w:marTop w:val="0"/>
      <w:marBottom w:val="0"/>
      <w:divBdr>
        <w:top w:val="none" w:sz="0" w:space="0" w:color="auto"/>
        <w:left w:val="none" w:sz="0" w:space="0" w:color="auto"/>
        <w:bottom w:val="none" w:sz="0" w:space="0" w:color="auto"/>
        <w:right w:val="none" w:sz="0" w:space="0" w:color="auto"/>
      </w:divBdr>
    </w:div>
    <w:div w:id="1971936932">
      <w:bodyDiv w:val="1"/>
      <w:marLeft w:val="0"/>
      <w:marRight w:val="0"/>
      <w:marTop w:val="0"/>
      <w:marBottom w:val="0"/>
      <w:divBdr>
        <w:top w:val="none" w:sz="0" w:space="0" w:color="auto"/>
        <w:left w:val="none" w:sz="0" w:space="0" w:color="auto"/>
        <w:bottom w:val="none" w:sz="0" w:space="0" w:color="auto"/>
        <w:right w:val="none" w:sz="0" w:space="0" w:color="auto"/>
      </w:divBdr>
    </w:div>
    <w:div w:id="1993631354">
      <w:bodyDiv w:val="1"/>
      <w:marLeft w:val="0"/>
      <w:marRight w:val="0"/>
      <w:marTop w:val="0"/>
      <w:marBottom w:val="0"/>
      <w:divBdr>
        <w:top w:val="none" w:sz="0" w:space="0" w:color="auto"/>
        <w:left w:val="none" w:sz="0" w:space="0" w:color="auto"/>
        <w:bottom w:val="none" w:sz="0" w:space="0" w:color="auto"/>
        <w:right w:val="none" w:sz="0" w:space="0" w:color="auto"/>
      </w:divBdr>
    </w:div>
    <w:div w:id="2010673047">
      <w:bodyDiv w:val="1"/>
      <w:marLeft w:val="0"/>
      <w:marRight w:val="0"/>
      <w:marTop w:val="0"/>
      <w:marBottom w:val="0"/>
      <w:divBdr>
        <w:top w:val="none" w:sz="0" w:space="0" w:color="auto"/>
        <w:left w:val="none" w:sz="0" w:space="0" w:color="auto"/>
        <w:bottom w:val="none" w:sz="0" w:space="0" w:color="auto"/>
        <w:right w:val="none" w:sz="0" w:space="0" w:color="auto"/>
      </w:divBdr>
    </w:div>
    <w:div w:id="2030451422">
      <w:bodyDiv w:val="1"/>
      <w:marLeft w:val="0"/>
      <w:marRight w:val="0"/>
      <w:marTop w:val="0"/>
      <w:marBottom w:val="0"/>
      <w:divBdr>
        <w:top w:val="none" w:sz="0" w:space="0" w:color="auto"/>
        <w:left w:val="none" w:sz="0" w:space="0" w:color="auto"/>
        <w:bottom w:val="none" w:sz="0" w:space="0" w:color="auto"/>
        <w:right w:val="none" w:sz="0" w:space="0" w:color="auto"/>
      </w:divBdr>
    </w:div>
    <w:div w:id="20670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Raport2022\Kopia%20ATT0000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'Dane do wykresów-wpis'!$B$17</c:f>
              <c:strCache>
                <c:ptCount val="1"/>
                <c:pt idx="0">
                  <c:v>2022</c:v>
                </c:pt>
              </c:strCache>
            </c:strRef>
          </c:tx>
          <c:spPr>
            <a:solidFill>
              <a:srgbClr val="4F81BD"/>
            </a:solidFill>
            <a:ln w="25400">
              <a:noFill/>
            </a:ln>
          </c:spPr>
          <c:cat>
            <c:strRef>
              <c:f>'Dane do wykresów-wpis'!$A$18</c:f>
              <c:strCache>
                <c:ptCount val="1"/>
                <c:pt idx="0">
                  <c:v>SUMA PUNKTÓW</c:v>
                </c:pt>
              </c:strCache>
            </c:strRef>
          </c:cat>
          <c:val>
            <c:numRef>
              <c:f>'Dane do wykresów-wpis'!$B$18</c:f>
              <c:numCache>
                <c:formatCode>#,##0</c:formatCode>
                <c:ptCount val="1"/>
                <c:pt idx="0">
                  <c:v>65</c:v>
                </c:pt>
              </c:numCache>
            </c:numRef>
          </c:val>
        </c:ser>
        <c:ser>
          <c:idx val="1"/>
          <c:order val="1"/>
          <c:tx>
            <c:strRef>
              <c:f>'Dane do wykresów-wpis'!$C$17</c:f>
              <c:strCache>
                <c:ptCount val="1"/>
                <c:pt idx="0">
                  <c:v>2023</c:v>
                </c:pt>
              </c:strCache>
            </c:strRef>
          </c:tx>
          <c:spPr>
            <a:solidFill>
              <a:srgbClr val="C0504D"/>
            </a:solidFill>
            <a:ln w="25400">
              <a:noFill/>
            </a:ln>
          </c:spPr>
          <c:cat>
            <c:strRef>
              <c:f>'Dane do wykresów-wpis'!$A$18</c:f>
              <c:strCache>
                <c:ptCount val="1"/>
                <c:pt idx="0">
                  <c:v>SUMA PUNKTÓW</c:v>
                </c:pt>
              </c:strCache>
            </c:strRef>
          </c:cat>
          <c:val>
            <c:numRef>
              <c:f>'Dane do wykresów-wpis'!$C$18</c:f>
              <c:numCache>
                <c:formatCode>#,##0</c:formatCode>
                <c:ptCount val="1"/>
                <c:pt idx="0">
                  <c:v>65</c:v>
                </c:pt>
              </c:numCache>
            </c:numRef>
          </c:val>
        </c:ser>
        <c:ser>
          <c:idx val="2"/>
          <c:order val="2"/>
          <c:tx>
            <c:strRef>
              <c:f>'Dane do wykresów-wpis'!$D$17</c:f>
              <c:strCache>
                <c:ptCount val="1"/>
                <c:pt idx="0">
                  <c:v>2024</c:v>
                </c:pt>
              </c:strCache>
            </c:strRef>
          </c:tx>
          <c:spPr>
            <a:solidFill>
              <a:srgbClr val="9BBB59"/>
            </a:solidFill>
            <a:ln w="25400">
              <a:noFill/>
            </a:ln>
          </c:spPr>
          <c:cat>
            <c:strRef>
              <c:f>'Dane do wykresów-wpis'!$A$18</c:f>
              <c:strCache>
                <c:ptCount val="1"/>
                <c:pt idx="0">
                  <c:v>SUMA PUNKTÓW</c:v>
                </c:pt>
              </c:strCache>
            </c:strRef>
          </c:cat>
          <c:val>
            <c:numRef>
              <c:f>'Dane do wykresów-wpis'!$D$18</c:f>
              <c:numCache>
                <c:formatCode>#,##0</c:formatCode>
                <c:ptCount val="1"/>
                <c:pt idx="0">
                  <c:v>65</c:v>
                </c:pt>
              </c:numCache>
            </c:numRef>
          </c:val>
        </c:ser>
        <c:ser>
          <c:idx val="3"/>
          <c:order val="3"/>
          <c:tx>
            <c:strRef>
              <c:f>'Dane do wykresów-wpis'!$E$17</c:f>
              <c:strCache>
                <c:ptCount val="1"/>
                <c:pt idx="0">
                  <c:v>2025</c:v>
                </c:pt>
              </c:strCache>
            </c:strRef>
          </c:tx>
          <c:spPr>
            <a:solidFill>
              <a:srgbClr val="8064A2"/>
            </a:solidFill>
            <a:ln w="25400">
              <a:noFill/>
            </a:ln>
          </c:spPr>
          <c:cat>
            <c:strRef>
              <c:f>'Dane do wykresów-wpis'!$A$18</c:f>
              <c:strCache>
                <c:ptCount val="1"/>
                <c:pt idx="0">
                  <c:v>SUMA PUNKTÓW</c:v>
                </c:pt>
              </c:strCache>
            </c:strRef>
          </c:cat>
          <c:val>
            <c:numRef>
              <c:f>'Dane do wykresów-wpis'!$E$18</c:f>
              <c:numCache>
                <c:formatCode>#,##0</c:formatCode>
                <c:ptCount val="1"/>
                <c:pt idx="0">
                  <c:v>65</c:v>
                </c:pt>
              </c:numCache>
            </c:numRef>
          </c:val>
        </c:ser>
        <c:gapWidth val="219"/>
        <c:overlap val="-27"/>
        <c:axId val="86870656"/>
        <c:axId val="196915200"/>
      </c:barChart>
      <c:catAx>
        <c:axId val="86870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915200"/>
        <c:crosses val="autoZero"/>
        <c:auto val="1"/>
        <c:lblAlgn val="ctr"/>
        <c:lblOffset val="100"/>
      </c:catAx>
      <c:valAx>
        <c:axId val="1969152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870656"/>
        <c:crosses val="autoZero"/>
        <c:crossBetween val="between"/>
      </c:valAx>
      <c:spPr>
        <a:noFill/>
        <a:ln w="25400">
          <a:noFill/>
        </a:ln>
      </c:spPr>
    </c:plotArea>
    <c:legend>
      <c:legendPos val="r"/>
      <c:layout>
        <c:manualLayout>
          <c:xMode val="edge"/>
          <c:yMode val="edge"/>
          <c:x val="0.31250065616797973"/>
          <c:y val="0.8905775744512372"/>
          <c:w val="0.37500065616797973"/>
          <c:h val="7.9027258464200334E-2"/>
        </c:manualLayout>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25754-DE5F-4DDD-A1C4-CCB23E13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5324</Words>
  <Characters>31947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74</cp:revision>
  <cp:lastPrinted>2023-05-25T11:51:00Z</cp:lastPrinted>
  <dcterms:created xsi:type="dcterms:W3CDTF">2022-05-19T08:26:00Z</dcterms:created>
  <dcterms:modified xsi:type="dcterms:W3CDTF">2023-05-25T11:51:00Z</dcterms:modified>
</cp:coreProperties>
</file>